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  <w:r w:rsidRPr="00044E5F">
        <w:rPr>
          <w:rFonts w:ascii="Times" w:eastAsia="MS Minngs" w:hAnsi="Times" w:cs="Time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A440675" wp14:editId="6EB87152">
            <wp:simplePos x="0" y="0"/>
            <wp:positionH relativeFrom="column">
              <wp:posOffset>-154940</wp:posOffset>
            </wp:positionH>
            <wp:positionV relativeFrom="paragraph">
              <wp:posOffset>-158115</wp:posOffset>
            </wp:positionV>
            <wp:extent cx="342900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  <w:r w:rsidRPr="00044E5F">
        <w:rPr>
          <w:rFonts w:ascii="Times" w:eastAsia="MS Minngs" w:hAnsi="Times" w:cs="Times"/>
          <w:noProof/>
          <w:sz w:val="24"/>
          <w:szCs w:val="24"/>
          <w:lang w:eastAsia="fr-FR"/>
        </w:rPr>
        <w:tab/>
      </w: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</w:p>
    <w:p w:rsidR="00DF1B17" w:rsidRPr="00044E5F" w:rsidRDefault="00DF1B17" w:rsidP="00DF1B17">
      <w:pPr>
        <w:spacing w:after="0" w:line="240" w:lineRule="auto"/>
        <w:rPr>
          <w:rFonts w:ascii="Arial" w:eastAsia="MS Minngs" w:hAnsi="Arial" w:cs="Arial"/>
          <w:noProof/>
          <w:lang w:eastAsia="fr-FR"/>
        </w:rPr>
      </w:pPr>
    </w:p>
    <w:p w:rsidR="00DF1B17" w:rsidRPr="00044E5F" w:rsidRDefault="00DF1B17" w:rsidP="00DF1B17">
      <w:pPr>
        <w:spacing w:after="0" w:line="240" w:lineRule="auto"/>
        <w:rPr>
          <w:rFonts w:ascii="Arial" w:eastAsia="MS Minngs" w:hAnsi="Arial" w:cs="Arial"/>
          <w:noProof/>
          <w:lang w:eastAsia="fr-FR"/>
        </w:rPr>
      </w:pPr>
    </w:p>
    <w:p w:rsidR="00DF1B17" w:rsidRPr="00044E5F" w:rsidRDefault="00DF1B17" w:rsidP="00DF1B17">
      <w:pPr>
        <w:keepNext/>
        <w:autoSpaceDE w:val="0"/>
        <w:autoSpaceDN w:val="0"/>
        <w:spacing w:after="0" w:line="240" w:lineRule="auto"/>
        <w:ind w:right="552"/>
        <w:jc w:val="center"/>
        <w:outlineLvl w:val="3"/>
        <w:rPr>
          <w:rFonts w:ascii="Arial" w:eastAsia="MS Minngs" w:hAnsi="Arial" w:cs="Arial"/>
          <w:b/>
          <w:bCs/>
          <w:noProof/>
          <w:color w:val="3366FF"/>
          <w:sz w:val="24"/>
          <w:szCs w:val="24"/>
          <w:lang w:eastAsia="fr-FR"/>
        </w:rPr>
      </w:pPr>
      <w:r w:rsidRPr="00044E5F">
        <w:rPr>
          <w:rFonts w:ascii="Arial" w:eastAsia="MS Minngs" w:hAnsi="Arial" w:cs="Arial"/>
          <w:b/>
          <w:bCs/>
          <w:noProof/>
          <w:sz w:val="24"/>
          <w:szCs w:val="24"/>
          <w:lang w:eastAsia="fr-FR"/>
        </w:rPr>
        <w:t xml:space="preserve">      </w:t>
      </w:r>
      <w:r w:rsidRPr="003E7151">
        <w:rPr>
          <w:rFonts w:ascii="Arial" w:eastAsia="MS Minngs" w:hAnsi="Arial" w:cs="Arial"/>
          <w:b/>
          <w:bCs/>
          <w:noProof/>
          <w:color w:val="0070C0"/>
          <w:sz w:val="24"/>
          <w:szCs w:val="24"/>
          <w:lang w:eastAsia="fr-FR"/>
        </w:rPr>
        <w:t xml:space="preserve">  Nouveautés Documentation PACEA</w:t>
      </w:r>
    </w:p>
    <w:p w:rsidR="00DF1B17" w:rsidRPr="00044E5F" w:rsidRDefault="00DF1B17" w:rsidP="00DF1B17">
      <w:pPr>
        <w:spacing w:after="0" w:line="240" w:lineRule="auto"/>
        <w:rPr>
          <w:rFonts w:ascii="Times" w:eastAsia="MS Minngs" w:hAnsi="Times" w:cs="Times"/>
          <w:noProof/>
          <w:sz w:val="24"/>
          <w:szCs w:val="24"/>
          <w:lang w:eastAsia="fr-FR"/>
        </w:rPr>
      </w:pPr>
    </w:p>
    <w:p w:rsidR="00DF1B17" w:rsidRPr="00044E5F" w:rsidRDefault="00DF1B17" w:rsidP="00DF1B17">
      <w:pPr>
        <w:spacing w:after="0" w:line="240" w:lineRule="auto"/>
        <w:ind w:right="552"/>
        <w:jc w:val="center"/>
        <w:rPr>
          <w:rFonts w:ascii="Arial" w:eastAsia="MS Minngs" w:hAnsi="Arial" w:cs="Arial"/>
          <w:b/>
          <w:bCs/>
          <w:noProof/>
          <w:sz w:val="24"/>
          <w:szCs w:val="24"/>
          <w:lang w:eastAsia="fr-FR"/>
        </w:rPr>
      </w:pPr>
      <w:r>
        <w:rPr>
          <w:rFonts w:ascii="Arial" w:eastAsia="MS Minngs" w:hAnsi="Arial" w:cs="Arial"/>
          <w:b/>
          <w:bCs/>
          <w:noProof/>
          <w:sz w:val="24"/>
          <w:szCs w:val="24"/>
          <w:lang w:eastAsia="fr-FR"/>
        </w:rPr>
        <w:t>septembre</w:t>
      </w:r>
      <w:r w:rsidRPr="00044E5F">
        <w:rPr>
          <w:rFonts w:ascii="Arial" w:eastAsia="MS Minngs" w:hAnsi="Arial" w:cs="Arial"/>
          <w:b/>
          <w:bCs/>
          <w:noProof/>
          <w:sz w:val="24"/>
          <w:szCs w:val="24"/>
          <w:lang w:eastAsia="fr-FR"/>
        </w:rPr>
        <w:t xml:space="preserve"> 2021</w:t>
      </w:r>
    </w:p>
    <w:p w:rsidR="00DF1B17" w:rsidRPr="00044E5F" w:rsidRDefault="00DF1B17" w:rsidP="00DF1B17">
      <w:pPr>
        <w:spacing w:after="0" w:line="240" w:lineRule="auto"/>
        <w:ind w:right="552"/>
        <w:jc w:val="center"/>
        <w:rPr>
          <w:rFonts w:ascii="Arial" w:eastAsia="MS Minngs" w:hAnsi="Arial" w:cs="Arial"/>
          <w:b/>
          <w:bCs/>
          <w:noProof/>
          <w:sz w:val="24"/>
          <w:szCs w:val="24"/>
          <w:lang w:val="en-GB" w:eastAsia="fr-FR"/>
        </w:rPr>
      </w:pPr>
      <w:r w:rsidRPr="00044E5F">
        <w:rPr>
          <w:rFonts w:ascii="Arial" w:eastAsia="MS Minngs" w:hAnsi="Arial" w:cs="Arial"/>
          <w:b/>
          <w:bCs/>
          <w:noProof/>
          <w:sz w:val="24"/>
          <w:szCs w:val="24"/>
          <w:lang w:eastAsia="fr-FR"/>
        </w:rPr>
        <w:t xml:space="preserve"> </w:t>
      </w:r>
      <w:r w:rsidRPr="00044E5F">
        <w:rPr>
          <w:rFonts w:ascii="Arial" w:eastAsia="MS Minngs" w:hAnsi="Arial" w:cs="Arial"/>
          <w:b/>
          <w:bCs/>
          <w:noProof/>
          <w:sz w:val="24"/>
          <w:szCs w:val="24"/>
          <w:lang w:val="en-GB" w:eastAsia="fr-FR"/>
        </w:rPr>
        <w:t>__________</w:t>
      </w: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noProof/>
          <w:color w:val="3366FF"/>
          <w:sz w:val="24"/>
          <w:szCs w:val="24"/>
          <w:lang w:val="en-GB" w:eastAsia="fr-FR"/>
        </w:rPr>
      </w:pP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noProof/>
          <w:color w:val="3366FF"/>
          <w:sz w:val="24"/>
          <w:szCs w:val="24"/>
          <w:lang w:val="en-GB" w:eastAsia="fr-FR"/>
        </w:rPr>
      </w:pP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 w:rsidRPr="00044E5F">
        <w:rPr>
          <w:rFonts w:ascii="Arial" w:eastAsia="MS Minngs" w:hAnsi="Arial" w:cs="Arial"/>
          <w:b/>
          <w:bCs/>
          <w:noProof/>
          <w:lang w:val="en-GB" w:eastAsia="fr-FR"/>
        </w:rPr>
        <w:t>1 • </w:t>
      </w:r>
      <w:r w:rsidRPr="00044E5F">
        <w:rPr>
          <w:rFonts w:ascii="Arial" w:eastAsia="MS Minngs" w:hAnsi="Arial" w:cs="Arial"/>
          <w:b/>
          <w:bCs/>
          <w:noProof/>
          <w:u w:val="single"/>
          <w:lang w:val="en-GB" w:eastAsia="fr-FR"/>
        </w:rPr>
        <w:t>Monographies</w:t>
      </w:r>
    </w:p>
    <w:p w:rsidR="00DF1B17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</w:p>
    <w:p w:rsidR="00DF1B17" w:rsidRDefault="00E20B64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>Augereau A. (2021</w:t>
      </w:r>
      <w:r w:rsidR="00DF1B17">
        <w:rPr>
          <w:rFonts w:ascii="Arial" w:eastAsia="MS Minngs" w:hAnsi="Arial" w:cs="Arial"/>
          <w:noProof/>
          <w:lang w:val="en-GB" w:eastAsia="fr-FR"/>
        </w:rPr>
        <w:t>) –</w:t>
      </w:r>
      <w:r>
        <w:rPr>
          <w:rFonts w:ascii="Arial" w:eastAsia="MS Minngs" w:hAnsi="Arial" w:cs="Arial"/>
          <w:b/>
          <w:i/>
          <w:noProof/>
          <w:lang w:val="en-GB" w:eastAsia="fr-FR"/>
        </w:rPr>
        <w:t xml:space="preserve"> Femmes néolithiques : le genre dans les premières sociétés agricoles</w:t>
      </w:r>
      <w:r w:rsidR="00DF1B17">
        <w:rPr>
          <w:rFonts w:ascii="Arial" w:eastAsia="MS Minngs" w:hAnsi="Arial" w:cs="Arial"/>
          <w:noProof/>
          <w:lang w:val="en-GB" w:eastAsia="fr-FR"/>
        </w:rPr>
        <w:t>. Paris :</w:t>
      </w:r>
      <w:r>
        <w:rPr>
          <w:rFonts w:ascii="Arial" w:eastAsia="MS Minngs" w:hAnsi="Arial" w:cs="Arial"/>
          <w:noProof/>
          <w:lang w:val="en-GB" w:eastAsia="fr-FR"/>
        </w:rPr>
        <w:t xml:space="preserve"> CNRS Editions, 302 </w:t>
      </w:r>
      <w:r w:rsidR="00DF1B17">
        <w:rPr>
          <w:rFonts w:ascii="Arial" w:eastAsia="MS Minngs" w:hAnsi="Arial" w:cs="Arial"/>
          <w:noProof/>
          <w:lang w:val="en-GB" w:eastAsia="fr-FR"/>
        </w:rPr>
        <w:t>p. (Collection</w:t>
      </w:r>
      <w:r>
        <w:rPr>
          <w:rFonts w:ascii="Arial" w:eastAsia="MS Minngs" w:hAnsi="Arial" w:cs="Arial"/>
          <w:noProof/>
          <w:lang w:val="en-GB" w:eastAsia="fr-FR"/>
        </w:rPr>
        <w:t xml:space="preserve"> Le passé recomposé</w:t>
      </w:r>
      <w:r w:rsidR="00DF1B17">
        <w:rPr>
          <w:rFonts w:ascii="Arial" w:eastAsia="MS Minngs" w:hAnsi="Arial" w:cs="Arial"/>
          <w:noProof/>
          <w:lang w:val="en-GB" w:eastAsia="fr-FR"/>
        </w:rPr>
        <w:t>)</w:t>
      </w:r>
    </w:p>
    <w:p w:rsidR="00BD0C8C" w:rsidRDefault="00BD0C8C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2D29FE" w:rsidRDefault="002D29FE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Beaune S. de, Labrusse R. (dir.) (2021) – </w:t>
      </w:r>
      <w:r w:rsidRPr="002D29FE">
        <w:rPr>
          <w:rFonts w:ascii="Arial" w:eastAsia="MS Minngs" w:hAnsi="Arial" w:cs="Arial"/>
          <w:b/>
          <w:i/>
          <w:noProof/>
          <w:lang w:val="en-GB" w:eastAsia="fr-FR"/>
        </w:rPr>
        <w:t>La Préhistoire au présent : mots, images, savoirs, fictions</w:t>
      </w:r>
      <w:r>
        <w:rPr>
          <w:rFonts w:ascii="Arial" w:eastAsia="MS Minngs" w:hAnsi="Arial" w:cs="Arial"/>
          <w:noProof/>
          <w:lang w:val="en-GB" w:eastAsia="fr-FR"/>
        </w:rPr>
        <w:t xml:space="preserve">. Paris : CNRS Editions, 361 p. </w:t>
      </w:r>
    </w:p>
    <w:p w:rsidR="002D29FE" w:rsidRDefault="002D29FE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BD0C8C" w:rsidRDefault="00BD0C8C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Buffrénil V. de, Ricqlès A.J. de, Zylberberg L., Padian K. (eds) (2021) – </w:t>
      </w:r>
      <w:r w:rsidRPr="00D712FC">
        <w:rPr>
          <w:rFonts w:ascii="Arial" w:eastAsia="MS Minngs" w:hAnsi="Arial" w:cs="Arial"/>
          <w:b/>
          <w:i/>
          <w:noProof/>
          <w:lang w:val="en-GB" w:eastAsia="fr-FR"/>
        </w:rPr>
        <w:t>Verterbrate skeletal histology and paleohistology</w:t>
      </w:r>
      <w:r>
        <w:rPr>
          <w:rFonts w:ascii="Arial" w:eastAsia="MS Minngs" w:hAnsi="Arial" w:cs="Arial"/>
          <w:noProof/>
          <w:lang w:val="en-GB" w:eastAsia="fr-FR"/>
        </w:rPr>
        <w:t xml:space="preserve">. </w:t>
      </w:r>
      <w:r w:rsidR="00D712FC">
        <w:rPr>
          <w:rFonts w:ascii="Arial" w:eastAsia="MS Minngs" w:hAnsi="Arial" w:cs="Arial"/>
          <w:noProof/>
          <w:lang w:val="en-GB" w:eastAsia="fr-FR"/>
        </w:rPr>
        <w:t xml:space="preserve">Boca Raton, London : CRC Press : Abingdon : Taylor &amp; Francis, 825 p. </w:t>
      </w:r>
    </w:p>
    <w:p w:rsidR="002224C7" w:rsidRDefault="002224C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2224C7" w:rsidRDefault="002224C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Delley G. (dir.) (2021) – </w:t>
      </w:r>
      <w:r w:rsidRPr="002224C7">
        <w:rPr>
          <w:rFonts w:ascii="Arial" w:eastAsia="MS Minngs" w:hAnsi="Arial" w:cs="Arial"/>
          <w:b/>
          <w:i/>
          <w:noProof/>
          <w:lang w:val="en-GB" w:eastAsia="fr-FR"/>
        </w:rPr>
        <w:t>Des choses : une archéologie des cas à part</w:t>
      </w:r>
      <w:r>
        <w:rPr>
          <w:rFonts w:ascii="Arial" w:eastAsia="MS Minngs" w:hAnsi="Arial" w:cs="Arial"/>
          <w:noProof/>
          <w:lang w:val="en-GB" w:eastAsia="fr-FR"/>
        </w:rPr>
        <w:t>. Exposition “Des choses” présentée au Laténium, Neuchâtel, 28 mai 2021-9 janvier 2022. Neuchâtel : Laténium, 444 p.</w:t>
      </w:r>
    </w:p>
    <w:p w:rsidR="00C217CD" w:rsidRDefault="00C217CD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A175BD" w:rsidRDefault="00A175BD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Gilchrist R. (1999) – </w:t>
      </w:r>
      <w:r w:rsidRPr="00A175BD">
        <w:rPr>
          <w:rFonts w:ascii="Arial" w:eastAsia="MS Minngs" w:hAnsi="Arial" w:cs="Arial"/>
          <w:b/>
          <w:i/>
          <w:noProof/>
          <w:lang w:val="en-GB" w:eastAsia="fr-FR"/>
        </w:rPr>
        <w:t>Gender and Archaeology : contesting the past</w:t>
      </w:r>
      <w:r>
        <w:rPr>
          <w:rFonts w:ascii="Arial" w:eastAsia="MS Minngs" w:hAnsi="Arial" w:cs="Arial"/>
          <w:noProof/>
          <w:lang w:val="en-GB" w:eastAsia="fr-FR"/>
        </w:rPr>
        <w:t xml:space="preserve">. London, New York : Routledge, 190 p. </w:t>
      </w:r>
    </w:p>
    <w:p w:rsidR="002D29FE" w:rsidRDefault="002D29FE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2D29FE" w:rsidRDefault="002D29FE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Guilaine J., Briois F., Vigne J.-D. (dir.) (2021) – </w:t>
      </w:r>
      <w:r w:rsidRPr="002D29FE">
        <w:rPr>
          <w:rFonts w:ascii="Arial" w:eastAsia="MS Minngs" w:hAnsi="Arial" w:cs="Arial"/>
          <w:b/>
          <w:i/>
          <w:noProof/>
          <w:lang w:val="en-GB" w:eastAsia="fr-FR"/>
        </w:rPr>
        <w:t>Shillourokambos : un établissement néolithique pré-céramique à Chypre, les fouilles du secteur 3</w:t>
      </w:r>
      <w:r w:rsidR="002F5B76">
        <w:rPr>
          <w:rFonts w:ascii="Arial" w:eastAsia="MS Minngs" w:hAnsi="Arial" w:cs="Arial"/>
          <w:noProof/>
          <w:lang w:val="en-GB" w:eastAsia="fr-FR"/>
        </w:rPr>
        <w:t>. Paris : CNRS Editions, 775</w:t>
      </w:r>
      <w:r>
        <w:rPr>
          <w:rFonts w:ascii="Arial" w:eastAsia="MS Minngs" w:hAnsi="Arial" w:cs="Arial"/>
          <w:noProof/>
          <w:lang w:val="en-GB" w:eastAsia="fr-FR"/>
        </w:rPr>
        <w:t xml:space="preserve">p. </w:t>
      </w:r>
    </w:p>
    <w:p w:rsidR="00A175BD" w:rsidRDefault="00A175BD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C217CD" w:rsidRDefault="00C217CD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Koch J.K., Kirleis W. (eds.) (2019) – </w:t>
      </w:r>
      <w:r w:rsidRPr="00C217CD">
        <w:rPr>
          <w:rFonts w:ascii="Arial" w:eastAsia="MS Minngs" w:hAnsi="Arial" w:cs="Arial"/>
          <w:b/>
          <w:i/>
          <w:noProof/>
          <w:lang w:val="en-GB" w:eastAsia="fr-FR"/>
        </w:rPr>
        <w:t>Gender transformations in Prehistoric and Archaic societies</w:t>
      </w:r>
      <w:r>
        <w:rPr>
          <w:rFonts w:ascii="Arial" w:eastAsia="MS Minngs" w:hAnsi="Arial" w:cs="Arial"/>
          <w:noProof/>
          <w:lang w:val="en-GB" w:eastAsia="fr-FR"/>
        </w:rPr>
        <w:t>. Leiden : Sidestone Press, 500 p. (Scales of transformation in Prehistoric and Archaic societies ; 6)</w:t>
      </w:r>
    </w:p>
    <w:p w:rsidR="002F5B76" w:rsidRDefault="002F5B76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2F5B76" w:rsidRDefault="002F5B76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Lorblanchet M. (2020) – </w:t>
      </w:r>
      <w:r w:rsidRPr="002F5B76">
        <w:rPr>
          <w:rFonts w:ascii="Arial" w:eastAsia="MS Minngs" w:hAnsi="Arial" w:cs="Arial"/>
          <w:b/>
          <w:i/>
          <w:noProof/>
          <w:lang w:val="en-GB" w:eastAsia="fr-FR"/>
        </w:rPr>
        <w:t>Naissance de la vie : une lecture de l’art pariétal</w:t>
      </w:r>
      <w:r>
        <w:rPr>
          <w:rFonts w:ascii="Arial" w:eastAsia="MS Minngs" w:hAnsi="Arial" w:cs="Arial"/>
          <w:noProof/>
          <w:lang w:val="en-GB" w:eastAsia="fr-FR"/>
        </w:rPr>
        <w:t xml:space="preserve">. Arles : Editions du Rouergue, 173 p. </w:t>
      </w:r>
    </w:p>
    <w:p w:rsidR="00DF1B17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BF2691" w:rsidRDefault="00BF2691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Siegel P.E. (ed.) (2018) – </w:t>
      </w:r>
      <w:r w:rsidRPr="00BF2691">
        <w:rPr>
          <w:rFonts w:ascii="Arial" w:eastAsia="MS Minngs" w:hAnsi="Arial" w:cs="Arial"/>
          <w:b/>
          <w:i/>
          <w:noProof/>
          <w:lang w:val="en-GB" w:eastAsia="fr-FR"/>
        </w:rPr>
        <w:t>Island historical ecology : socionatural landscapes of the Eastern and Southern Caribbean</w:t>
      </w:r>
      <w:r>
        <w:rPr>
          <w:rFonts w:ascii="Arial" w:eastAsia="MS Minngs" w:hAnsi="Arial" w:cs="Arial"/>
          <w:noProof/>
          <w:lang w:val="en-GB" w:eastAsia="fr-FR"/>
        </w:rPr>
        <w:t>. New York : Berghahn, 427 p.</w:t>
      </w:r>
    </w:p>
    <w:p w:rsidR="00BF2691" w:rsidRDefault="00BF2691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BD0C8C" w:rsidRDefault="00BD0C8C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Sorensen M.-L. Stig (2005) – </w:t>
      </w:r>
      <w:r w:rsidRPr="00BD0C8C">
        <w:rPr>
          <w:rFonts w:ascii="Arial" w:eastAsia="MS Minngs" w:hAnsi="Arial" w:cs="Arial"/>
          <w:b/>
          <w:i/>
          <w:noProof/>
          <w:lang w:val="en-GB" w:eastAsia="fr-FR"/>
        </w:rPr>
        <w:t>Gender archaeology</w:t>
      </w:r>
      <w:r>
        <w:rPr>
          <w:rFonts w:ascii="Arial" w:eastAsia="MS Minngs" w:hAnsi="Arial" w:cs="Arial"/>
          <w:noProof/>
          <w:lang w:val="en-GB" w:eastAsia="fr-FR"/>
        </w:rPr>
        <w:t>. Maldon, MA : Polity Press, 236 p.</w:t>
      </w:r>
    </w:p>
    <w:p w:rsidR="00BD0C8C" w:rsidRDefault="00BD0C8C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</w:p>
    <w:p w:rsidR="00C21B58" w:rsidRDefault="00C21B58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Vayssettes J.-L. (dir.) (2021) - </w:t>
      </w:r>
      <w:r w:rsidRPr="00A86CA2">
        <w:rPr>
          <w:rFonts w:ascii="Arial" w:eastAsia="MS Minngs" w:hAnsi="Arial" w:cs="Arial"/>
          <w:b/>
          <w:i/>
          <w:noProof/>
          <w:lang w:val="en-GB" w:eastAsia="fr-FR"/>
        </w:rPr>
        <w:t>Les établissements juifs de Montpellier au Moyen Âge</w:t>
      </w:r>
      <w:r>
        <w:rPr>
          <w:rFonts w:ascii="Arial" w:eastAsia="MS Minngs" w:hAnsi="Arial" w:cs="Arial"/>
          <w:noProof/>
          <w:lang w:val="en-GB" w:eastAsia="fr-FR"/>
        </w:rPr>
        <w:t xml:space="preserve">. </w:t>
      </w:r>
      <w:r w:rsidRPr="00C21B58">
        <w:rPr>
          <w:rFonts w:ascii="Arial" w:eastAsia="MS Minngs" w:hAnsi="Arial" w:cs="Arial"/>
          <w:noProof/>
          <w:lang w:val="en-GB" w:eastAsia="fr-FR"/>
        </w:rPr>
        <w:t>Montpellier : Direction régionale des affaires cultu</w:t>
      </w:r>
      <w:r>
        <w:rPr>
          <w:rFonts w:ascii="Arial" w:eastAsia="MS Minngs" w:hAnsi="Arial" w:cs="Arial"/>
          <w:noProof/>
          <w:lang w:val="en-GB" w:eastAsia="fr-FR"/>
        </w:rPr>
        <w:t xml:space="preserve">relles Occitanie, </w:t>
      </w:r>
      <w:r w:rsidRPr="00C21B58">
        <w:rPr>
          <w:rFonts w:ascii="Arial" w:eastAsia="MS Minngs" w:hAnsi="Arial" w:cs="Arial"/>
          <w:noProof/>
          <w:lang w:val="en-GB" w:eastAsia="fr-FR"/>
        </w:rPr>
        <w:t>79 p</w:t>
      </w:r>
      <w:r>
        <w:rPr>
          <w:rFonts w:ascii="Arial" w:eastAsia="MS Minngs" w:hAnsi="Arial" w:cs="Arial"/>
          <w:noProof/>
          <w:lang w:val="en-GB" w:eastAsia="fr-FR"/>
        </w:rPr>
        <w:t>.</w:t>
      </w:r>
      <w:r w:rsidRPr="00C21B58">
        <w:rPr>
          <w:rFonts w:ascii="Arial" w:eastAsia="MS Minngs" w:hAnsi="Arial" w:cs="Arial"/>
          <w:noProof/>
          <w:lang w:val="en-GB" w:eastAsia="fr-FR"/>
        </w:rPr>
        <w:t xml:space="preserve"> (Duo : Patrimoine archéologique. Monuments objets)</w:t>
      </w:r>
    </w:p>
    <w:p w:rsidR="00DF1B17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color w:val="FF0000"/>
          <w:lang w:val="en-GB" w:eastAsia="fr-FR"/>
        </w:rPr>
      </w:pPr>
    </w:p>
    <w:p w:rsidR="00DF1B17" w:rsidRPr="00626D55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color w:val="FF0000"/>
          <w:lang w:val="en-GB" w:eastAsia="fr-FR"/>
        </w:rPr>
      </w:pPr>
    </w:p>
    <w:p w:rsidR="00DF1B17" w:rsidRPr="003E7151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i/>
          <w:iCs/>
          <w:noProof/>
          <w:color w:val="0070C0"/>
          <w:u w:val="single"/>
          <w:lang w:eastAsia="fr-FR"/>
        </w:rPr>
      </w:pPr>
      <w:r w:rsidRPr="003E7151">
        <w:rPr>
          <w:rFonts w:ascii="Arial" w:eastAsia="MS Minngs" w:hAnsi="Arial" w:cs="Arial"/>
          <w:b/>
          <w:bCs/>
          <w:i/>
          <w:iCs/>
          <w:noProof/>
          <w:color w:val="0070C0"/>
          <w:lang w:eastAsia="fr-FR"/>
        </w:rPr>
        <w:lastRenderedPageBreak/>
        <w:t xml:space="preserve">- </w:t>
      </w:r>
      <w:r w:rsidRPr="003E7151">
        <w:rPr>
          <w:rFonts w:ascii="Arial" w:eastAsia="MS Minngs" w:hAnsi="Arial" w:cs="Arial"/>
          <w:b/>
          <w:bCs/>
          <w:i/>
          <w:iCs/>
          <w:noProof/>
          <w:color w:val="0070C0"/>
          <w:u w:val="single"/>
          <w:lang w:eastAsia="fr-FR"/>
        </w:rPr>
        <w:t>Mémoire</w:t>
      </w:r>
    </w:p>
    <w:p w:rsidR="00DF1B17" w:rsidRPr="00762C27" w:rsidRDefault="00DF1B17" w:rsidP="00DF1B17">
      <w:pPr>
        <w:spacing w:after="0" w:line="240" w:lineRule="auto"/>
        <w:jc w:val="both"/>
        <w:rPr>
          <w:b/>
          <w:bCs/>
        </w:rPr>
      </w:pPr>
    </w:p>
    <w:p w:rsidR="00DF1B17" w:rsidRPr="00F116D3" w:rsidRDefault="00F116D3" w:rsidP="00DF1B17">
      <w:pPr>
        <w:spacing w:after="0" w:line="240" w:lineRule="auto"/>
        <w:ind w:right="12"/>
        <w:jc w:val="both"/>
        <w:rPr>
          <w:rFonts w:ascii="Arial" w:eastAsia="MS Minngs" w:hAnsi="Arial" w:cs="Arial"/>
          <w:noProof/>
          <w:color w:val="000000" w:themeColor="text1"/>
          <w:lang w:val="en-GB" w:eastAsia="fr-FR"/>
        </w:rPr>
      </w:pPr>
      <w:r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>Mouclier P.</w:t>
      </w:r>
      <w:r w:rsidR="00DF1B17"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 xml:space="preserve"> (2021) –</w:t>
      </w:r>
      <w:r w:rsidRPr="00F116D3">
        <w:rPr>
          <w:rFonts w:ascii="Arial" w:eastAsia="MS Minngs" w:hAnsi="Arial" w:cs="Arial"/>
          <w:b/>
          <w:i/>
          <w:noProof/>
          <w:color w:val="000000" w:themeColor="text1"/>
          <w:lang w:val="en-GB" w:eastAsia="fr-FR"/>
        </w:rPr>
        <w:t xml:space="preserve"> Le barateng Eipo : étude ethnoarchéologique d’une parure de </w:t>
      </w:r>
      <w:r w:rsidR="006D3135">
        <w:rPr>
          <w:rFonts w:ascii="Arial" w:eastAsia="MS Minngs" w:hAnsi="Arial" w:cs="Arial"/>
          <w:b/>
          <w:i/>
          <w:noProof/>
          <w:color w:val="000000" w:themeColor="text1"/>
          <w:lang w:val="en-GB" w:eastAsia="fr-FR"/>
        </w:rPr>
        <w:t>tête composée de Nassarius sp. u</w:t>
      </w:r>
      <w:bookmarkStart w:id="0" w:name="_GoBack"/>
      <w:bookmarkEnd w:id="0"/>
      <w:r w:rsidRPr="00F116D3">
        <w:rPr>
          <w:rFonts w:ascii="Arial" w:eastAsia="MS Minngs" w:hAnsi="Arial" w:cs="Arial"/>
          <w:b/>
          <w:i/>
          <w:noProof/>
          <w:color w:val="000000" w:themeColor="text1"/>
          <w:lang w:val="en-GB" w:eastAsia="fr-FR"/>
        </w:rPr>
        <w:t>tilisée par des Papous des Hautes Montagnes de la Nouvelle Guinée (Province Papua, Indonésie)</w:t>
      </w:r>
      <w:r w:rsidR="00DF1B17" w:rsidRPr="00F116D3">
        <w:rPr>
          <w:rFonts w:ascii="Arial" w:eastAsia="MS Minngs" w:hAnsi="Arial" w:cs="Arial"/>
          <w:b/>
          <w:i/>
          <w:noProof/>
          <w:color w:val="000000" w:themeColor="text1"/>
          <w:lang w:val="en-GB" w:eastAsia="fr-FR"/>
        </w:rPr>
        <w:t>.</w:t>
      </w:r>
      <w:r w:rsidR="00DF1B17"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 xml:space="preserve"> Mémoire de Master 2 : Sciences et Technologies : Bio-géosciences,</w:t>
      </w:r>
      <w:r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 xml:space="preserve"> Archéothanatologie </w:t>
      </w:r>
      <w:r w:rsidR="00DF1B17"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>: 2021. 1 vol. (70 p.</w:t>
      </w:r>
      <w:r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 xml:space="preserve"> + Annexes</w:t>
      </w:r>
      <w:r w:rsidR="00DF1B17" w:rsidRPr="00F116D3">
        <w:rPr>
          <w:rFonts w:ascii="Arial" w:eastAsia="MS Minngs" w:hAnsi="Arial" w:cs="Arial"/>
          <w:noProof/>
          <w:color w:val="000000" w:themeColor="text1"/>
          <w:lang w:val="en-GB" w:eastAsia="fr-FR"/>
        </w:rPr>
        <w:t xml:space="preserve">) </w:t>
      </w:r>
      <w:r w:rsidR="00DF1B17" w:rsidRPr="00F116D3">
        <w:rPr>
          <w:rFonts w:ascii="Arial" w:eastAsia="MS Minngs" w:hAnsi="Arial" w:cs="Arial"/>
          <w:noProof/>
          <w:color w:val="000000" w:themeColor="text1"/>
          <w:sz w:val="18"/>
          <w:szCs w:val="18"/>
          <w:lang w:val="en-GB" w:eastAsia="fr-FR"/>
        </w:rPr>
        <w:t>(zotero)</w:t>
      </w:r>
    </w:p>
    <w:p w:rsidR="00DF1B17" w:rsidRDefault="00DF1B17" w:rsidP="00DF1B17">
      <w:pPr>
        <w:spacing w:after="0" w:line="240" w:lineRule="auto"/>
        <w:jc w:val="both"/>
        <w:rPr>
          <w:b/>
          <w:bCs/>
        </w:rPr>
      </w:pPr>
    </w:p>
    <w:p w:rsidR="00DF1B17" w:rsidRPr="00044E5F" w:rsidRDefault="00DF1B17" w:rsidP="00DF1B17">
      <w:pPr>
        <w:spacing w:after="0" w:line="240" w:lineRule="auto"/>
        <w:jc w:val="both"/>
        <w:rPr>
          <w:b/>
          <w:bCs/>
        </w:rPr>
      </w:pP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noProof/>
          <w:u w:val="single"/>
          <w:lang w:eastAsia="fr-FR"/>
        </w:rPr>
      </w:pPr>
      <w:r w:rsidRPr="00044E5F">
        <w:rPr>
          <w:rFonts w:ascii="Arial" w:eastAsia="MS Minngs" w:hAnsi="Arial" w:cs="Arial"/>
          <w:noProof/>
          <w:lang w:eastAsia="fr-FR"/>
        </w:rPr>
        <w:t>2</w:t>
      </w:r>
      <w:r w:rsidRPr="00044E5F">
        <w:rPr>
          <w:rFonts w:ascii="Arial" w:eastAsia="MS Minngs" w:hAnsi="Arial" w:cs="Arial"/>
          <w:b/>
          <w:bCs/>
          <w:noProof/>
          <w:lang w:eastAsia="fr-FR"/>
        </w:rPr>
        <w:t> • </w:t>
      </w:r>
      <w:r w:rsidRPr="00044E5F">
        <w:rPr>
          <w:rFonts w:ascii="Arial" w:eastAsia="MS Minngs" w:hAnsi="Arial" w:cs="Arial"/>
          <w:b/>
          <w:bCs/>
          <w:noProof/>
          <w:u w:val="single"/>
          <w:lang w:eastAsia="fr-FR"/>
        </w:rPr>
        <w:t>Tirés-à-part</w:t>
      </w:r>
    </w:p>
    <w:p w:rsidR="00DF1B17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i/>
          <w:iCs/>
          <w:noProof/>
          <w:color w:val="3366FF"/>
          <w:lang w:eastAsia="fr-FR"/>
        </w:rPr>
      </w:pP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i/>
          <w:iCs/>
          <w:noProof/>
          <w:color w:val="3366FF"/>
          <w:lang w:eastAsia="fr-FR"/>
        </w:rPr>
      </w:pPr>
    </w:p>
    <w:p w:rsidR="00DF1B17" w:rsidRPr="003E7151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i/>
          <w:iCs/>
          <w:noProof/>
          <w:color w:val="0070C0"/>
          <w:u w:val="single"/>
          <w:lang w:eastAsia="fr-FR"/>
        </w:rPr>
      </w:pPr>
      <w:r w:rsidRPr="003E7151">
        <w:rPr>
          <w:rFonts w:ascii="Arial" w:eastAsia="MS Minngs" w:hAnsi="Arial" w:cs="Arial"/>
          <w:b/>
          <w:bCs/>
          <w:i/>
          <w:iCs/>
          <w:noProof/>
          <w:color w:val="0070C0"/>
          <w:lang w:eastAsia="fr-FR"/>
        </w:rPr>
        <w:t xml:space="preserve">- </w:t>
      </w:r>
      <w:r w:rsidRPr="003E7151">
        <w:rPr>
          <w:rFonts w:ascii="Arial" w:eastAsia="MS Minngs" w:hAnsi="Arial" w:cs="Arial"/>
          <w:b/>
          <w:bCs/>
          <w:i/>
          <w:iCs/>
          <w:noProof/>
          <w:color w:val="0070C0"/>
          <w:u w:val="single"/>
          <w:lang w:eastAsia="fr-FR"/>
        </w:rPr>
        <w:t>Membres de PACEA et collaborateurs bénévoles</w:t>
      </w:r>
    </w:p>
    <w:p w:rsidR="00DF1B17" w:rsidRPr="00044E5F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</w:p>
    <w:p w:rsidR="008E6CF5" w:rsidRPr="00C15F58" w:rsidRDefault="008E6CF5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</w:pP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Bédécarrats S., Miclon V., Travers N., Gaultier M., Herrscher E., </w:t>
      </w:r>
      <w:r w:rsidRPr="00294937">
        <w:rPr>
          <w:rFonts w:ascii="Arial" w:eastAsia="MS Minngs" w:hAnsi="Arial" w:cs="Arial"/>
          <w:bCs/>
          <w:noProof/>
          <w:color w:val="0070C0"/>
          <w:lang w:val="en-GB"/>
        </w:rPr>
        <w:t>Coqueugniot H.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>(2021) –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3D reappraisal of trepanations at St. Cosme priory between the 12</w:t>
      </w:r>
      <w:r w:rsidRPr="008E6CF5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and the 15</w:t>
      </w:r>
      <w:r w:rsidRPr="008E6CF5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centuries, France</w:t>
      </w:r>
      <w:r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>.</w:t>
      </w:r>
      <w:r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 xml:space="preserve"> International Journal of Paleopathology</w:t>
      </w:r>
      <w:r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vol. 34, p. 168-181. </w:t>
      </w:r>
      <w:r w:rsidRPr="00351386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5" w:history="1">
        <w:r w:rsidR="00C15F58" w:rsidRPr="00F22364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https://doi.org/10.1016/j.ijpp.2021.07.003</w:t>
        </w:r>
      </w:hyperlink>
      <w:r w:rsidRPr="002110EC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</w:t>
      </w:r>
      <w:r w:rsidR="00C15F58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 xml:space="preserve"> </w:t>
      </w:r>
      <w:r w:rsidRPr="00351386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(zotero)</w:t>
      </w:r>
    </w:p>
    <w:p w:rsidR="00E67DE5" w:rsidRPr="00C55407" w:rsidRDefault="00603924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</w:pPr>
      <w:r w:rsidRPr="00C55407">
        <w:rPr>
          <w:rFonts w:ascii="Arial" w:eastAsia="MS Minngs" w:hAnsi="Arial" w:cs="Arial"/>
          <w:bCs/>
          <w:noProof/>
          <w:color w:val="0070C0"/>
          <w:lang w:val="en-GB"/>
        </w:rPr>
        <w:t xml:space="preserve">Colombo A., Coqueugniot H., Dutour O. </w:t>
      </w:r>
      <w:r w:rsidRPr="00603924">
        <w:rPr>
          <w:rFonts w:ascii="Arial" w:eastAsia="MS Minngs" w:hAnsi="Arial" w:cs="Arial"/>
          <w:bCs/>
          <w:noProof/>
          <w:color w:val="000000" w:themeColor="text1"/>
          <w:lang w:val="en-GB"/>
        </w:rPr>
        <w:t>(2021) –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Can the palaeoepidemiology</w:t>
      </w:r>
      <w:r w:rsidR="004A426D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of rickets during the industrialisation period in France be studied through bioarchaeological grey literature and French medico-historical literature of the 18</w:t>
      </w:r>
      <w:r w:rsidR="004A426D" w:rsidRPr="004A426D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 w:rsidR="004A426D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-early 20</w:t>
      </w:r>
      <w:r w:rsidR="004A426D" w:rsidRPr="004A426D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 w:rsidR="004A426D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centuries ? Preliminary examination of a complex topic</w:t>
      </w:r>
      <w:r w:rsidRPr="00603924">
        <w:rPr>
          <w:rFonts w:ascii="Arial" w:eastAsia="MS Minngs" w:hAnsi="Arial" w:cs="Arial"/>
          <w:bCs/>
          <w:noProof/>
          <w:color w:val="000000" w:themeColor="text1"/>
          <w:lang w:val="en-GB"/>
        </w:rPr>
        <w:t>.</w:t>
      </w:r>
      <w:r w:rsidRPr="00603924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 xml:space="preserve"> International Journal of Paleopathology</w:t>
      </w:r>
      <w:r w:rsidRPr="00603924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</w:t>
      </w:r>
      <w:r w:rsidR="004A426D">
        <w:rPr>
          <w:rFonts w:ascii="Arial" w:eastAsia="MS Minngs" w:hAnsi="Arial" w:cs="Arial"/>
          <w:bCs/>
          <w:noProof/>
          <w:color w:val="000000" w:themeColor="text1"/>
          <w:lang w:val="en-GB"/>
        </w:rPr>
        <w:t>vol. 34, p. 76-81</w:t>
      </w:r>
      <w:r w:rsidRPr="00603924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. </w:t>
      </w:r>
      <w:r w:rsidRPr="00C55407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6" w:history="1">
        <w:r w:rsidR="00C55407" w:rsidRPr="002A5115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https://doi.org/10.1016/j.ijpp.2021.06.005</w:t>
        </w:r>
      </w:hyperlink>
      <w:r w:rsidRPr="00C55407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</w:t>
      </w:r>
      <w:r w:rsidR="00C55407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 xml:space="preserve"> </w:t>
      </w:r>
      <w:r w:rsidRPr="00C55407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(zotero)</w:t>
      </w:r>
    </w:p>
    <w:p w:rsidR="00932B90" w:rsidRPr="00932B90" w:rsidRDefault="00932B90" w:rsidP="00932B90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 w:rsidRPr="00932B90">
        <w:rPr>
          <w:rFonts w:ascii="Arial" w:eastAsia="MS Minngs" w:hAnsi="Arial" w:cs="Arial"/>
          <w:noProof/>
          <w:color w:val="0070C0"/>
          <w:lang w:val="en-GB" w:eastAsia="fr-FR"/>
        </w:rPr>
        <w:t>Colombo A., Dutailly B.</w:t>
      </w:r>
      <w:r w:rsidRPr="00932B90">
        <w:rPr>
          <w:rFonts w:ascii="Arial" w:eastAsia="MS Minngs" w:hAnsi="Arial" w:cs="Arial"/>
          <w:noProof/>
          <w:color w:val="000000"/>
          <w:lang w:val="en-GB" w:eastAsia="fr-FR"/>
        </w:rPr>
        <w:t xml:space="preserve">, Leguay R., </w:t>
      </w:r>
      <w:r w:rsidRPr="00932B90">
        <w:rPr>
          <w:rFonts w:ascii="Arial" w:eastAsia="MS Minngs" w:hAnsi="Arial" w:cs="Arial"/>
          <w:noProof/>
          <w:color w:val="0070C0"/>
          <w:lang w:val="en-GB" w:eastAsia="fr-FR"/>
        </w:rPr>
        <w:t>Dutour O., Coqueugniot H.</w:t>
      </w:r>
      <w:r w:rsidRPr="00932B90">
        <w:rPr>
          <w:rFonts w:ascii="Arial" w:eastAsia="MS Minngs" w:hAnsi="Arial" w:cs="Arial"/>
          <w:noProof/>
          <w:color w:val="000000"/>
          <w:lang w:val="en-GB" w:eastAsia="fr-FR"/>
        </w:rPr>
        <w:t xml:space="preserve"> (2021) – </w:t>
      </w:r>
      <w:r w:rsidRPr="00932B90">
        <w:rPr>
          <w:rFonts w:ascii="Arial" w:eastAsia="MS Minngs" w:hAnsi="Arial" w:cs="Arial"/>
          <w:b/>
          <w:noProof/>
          <w:color w:val="000000"/>
          <w:lang w:val="en-GB" w:eastAsia="fr-FR"/>
        </w:rPr>
        <w:t>Assessing biases in the analysis of trabecular bone microarchitecture of non-adult individuals</w:t>
      </w:r>
      <w:r w:rsidRPr="00932B90">
        <w:rPr>
          <w:rFonts w:ascii="Arial" w:eastAsia="MS Minngs" w:hAnsi="Arial" w:cs="Arial"/>
          <w:noProof/>
          <w:color w:val="000000"/>
          <w:lang w:val="en-GB" w:eastAsia="fr-FR"/>
        </w:rPr>
        <w:t xml:space="preserve">. </w:t>
      </w:r>
      <w:r w:rsidRPr="00932B90">
        <w:rPr>
          <w:rFonts w:ascii="Arial" w:eastAsia="MS Minngs" w:hAnsi="Arial" w:cs="Arial"/>
          <w:i/>
          <w:noProof/>
          <w:color w:val="000000"/>
          <w:lang w:val="en-GB" w:eastAsia="fr-FR"/>
        </w:rPr>
        <w:t>Journal of Archaeological Science : Reports</w:t>
      </w:r>
      <w:r w:rsidRPr="00932B90">
        <w:rPr>
          <w:rFonts w:ascii="Arial" w:eastAsia="MS Minngs" w:hAnsi="Arial" w:cs="Arial"/>
          <w:noProof/>
          <w:color w:val="000000"/>
          <w:lang w:val="en-GB" w:eastAsia="fr-FR"/>
        </w:rPr>
        <w:t xml:space="preserve">, vol. 39, 103138, 16 p. </w:t>
      </w:r>
      <w:r w:rsidRPr="00932B90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(</w:t>
      </w:r>
      <w:hyperlink r:id="rId7" w:history="1">
        <w:r w:rsidRPr="00932B90">
          <w:rPr>
            <w:rFonts w:ascii="Arial" w:eastAsia="MS Minngs" w:hAnsi="Arial" w:cs="Arial"/>
            <w:noProof/>
            <w:color w:val="0070C0"/>
            <w:sz w:val="18"/>
            <w:szCs w:val="18"/>
            <w:u w:val="single"/>
            <w:lang w:val="en-GB" w:eastAsia="fr-FR"/>
          </w:rPr>
          <w:t>https://doi.org/10.1016/j.jasrep.2021.103138</w:t>
        </w:r>
      </w:hyperlink>
      <w:r w:rsidRPr="00932B90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) (zotero)</w:t>
      </w:r>
    </w:p>
    <w:p w:rsidR="00B75E53" w:rsidRDefault="00932B90" w:rsidP="001D6823">
      <w:pPr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  <w:r>
        <w:rPr>
          <w:rFonts w:ascii="Arial" w:eastAsia="MS Minngs" w:hAnsi="Arial" w:cs="Arial"/>
          <w:bCs/>
          <w:noProof/>
          <w:color w:val="0070C0"/>
          <w:lang w:val="en-GB"/>
        </w:rPr>
        <w:br/>
      </w:r>
      <w:r w:rsidR="001D6823" w:rsidRPr="00B75E53">
        <w:rPr>
          <w:rFonts w:ascii="Arial" w:eastAsia="MS Minngs" w:hAnsi="Arial" w:cs="Arial"/>
          <w:bCs/>
          <w:noProof/>
          <w:color w:val="0070C0"/>
          <w:lang w:val="en-GB"/>
        </w:rPr>
        <w:t xml:space="preserve">Coqueugniot H., Colombo A., Dutour O. </w:t>
      </w:r>
      <w:r w:rsidR="001D6823" w:rsidRPr="001D6823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(2021) – </w:t>
      </w:r>
      <w:r w:rsidR="001D6823" w:rsidRPr="00B75E53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Are the identified collections of immature skeletons dating from the Industrial Revolution good references for paleoauxological studies ? Cases studies from England &amp; France.</w:t>
      </w:r>
      <w:r w:rsidR="001D6823" w:rsidRPr="001D6823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="001D6823" w:rsidRPr="001D6823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International Journal of Paleopathology</w:t>
      </w:r>
      <w:r w:rsidR="001D6823" w:rsidRPr="001D6823">
        <w:rPr>
          <w:rFonts w:ascii="Arial" w:eastAsia="MS Minngs" w:hAnsi="Arial" w:cs="Arial"/>
          <w:bCs/>
          <w:noProof/>
          <w:color w:val="000000" w:themeColor="text1"/>
          <w:lang w:val="en-GB"/>
        </w:rPr>
        <w:t>, vol. 34, p. 142-146. (</w:t>
      </w:r>
      <w:hyperlink r:id="rId8" w:history="1">
        <w:r w:rsidR="001D6823" w:rsidRPr="00091CE3">
          <w:rPr>
            <w:rStyle w:val="Lienhypertexte"/>
            <w:rFonts w:ascii="Arial" w:eastAsia="MS Minngs" w:hAnsi="Arial" w:cs="Arial"/>
            <w:bCs/>
            <w:noProof/>
            <w:color w:val="0070C0"/>
            <w:sz w:val="18"/>
            <w:szCs w:val="18"/>
            <w:lang w:val="en-GB"/>
          </w:rPr>
          <w:t>https://doi.org/10.1016/j.ijpp.2021.07.002</w:t>
        </w:r>
      </w:hyperlink>
      <w:r w:rsidR="001D6823" w:rsidRPr="001D6823">
        <w:rPr>
          <w:rFonts w:ascii="Arial" w:eastAsia="MS Minngs" w:hAnsi="Arial" w:cs="Arial"/>
          <w:bCs/>
          <w:noProof/>
          <w:color w:val="000000" w:themeColor="text1"/>
          <w:lang w:val="en-GB"/>
        </w:rPr>
        <w:t>)</w:t>
      </w:r>
      <w:r w:rsidR="00B75E53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="00B75E53" w:rsidRPr="00B75E53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(zotero)</w:t>
      </w:r>
    </w:p>
    <w:p w:rsidR="00C15F58" w:rsidRPr="00C15F58" w:rsidRDefault="00C15F58" w:rsidP="00C15F58">
      <w:pPr>
        <w:jc w:val="both"/>
        <w:rPr>
          <w:rFonts w:ascii="Arial" w:eastAsia="MS Minngs" w:hAnsi="Arial" w:cs="Arial"/>
          <w:bCs/>
          <w:noProof/>
          <w:sz w:val="18"/>
          <w:szCs w:val="18"/>
          <w:lang w:val="en-GB"/>
        </w:rPr>
      </w:pPr>
      <w:r w:rsidRPr="00C15F58">
        <w:rPr>
          <w:rFonts w:ascii="Arial" w:eastAsia="MS Minngs" w:hAnsi="Arial" w:cs="Arial"/>
          <w:bCs/>
          <w:noProof/>
          <w:color w:val="0070C0"/>
          <w:lang w:val="en-GB"/>
        </w:rPr>
        <w:t xml:space="preserve">Coutinho-Nogueira D., Coqueugniot H., Santos F., Tillier A.-m. </w:t>
      </w:r>
      <w:r w:rsidRPr="00C15F58">
        <w:rPr>
          <w:rFonts w:ascii="Arial" w:eastAsia="MS Minngs" w:hAnsi="Arial" w:cs="Arial"/>
          <w:bCs/>
          <w:noProof/>
          <w:lang w:val="en-GB"/>
        </w:rPr>
        <w:t xml:space="preserve">(2021) – </w:t>
      </w:r>
      <w:r w:rsidRPr="00C15F58">
        <w:rPr>
          <w:rFonts w:ascii="Arial" w:eastAsia="MS Minngs" w:hAnsi="Arial" w:cs="Arial"/>
          <w:b/>
          <w:bCs/>
          <w:noProof/>
          <w:lang w:val="en-GB"/>
        </w:rPr>
        <w:t>The bony labyrinth of Qafzeh 25 Homo sapiens from Israel.</w:t>
      </w:r>
      <w:r w:rsidRPr="00C15F58">
        <w:rPr>
          <w:rFonts w:ascii="Arial" w:eastAsia="MS Minngs" w:hAnsi="Arial" w:cs="Arial"/>
          <w:bCs/>
          <w:i/>
          <w:noProof/>
          <w:lang w:val="en-GB"/>
        </w:rPr>
        <w:t xml:space="preserve"> Archaeological and Anthropological Sciences</w:t>
      </w:r>
      <w:r w:rsidRPr="00C15F58">
        <w:rPr>
          <w:rFonts w:ascii="Arial" w:eastAsia="MS Minngs" w:hAnsi="Arial" w:cs="Arial"/>
          <w:bCs/>
          <w:noProof/>
          <w:lang w:val="en-GB"/>
        </w:rPr>
        <w:t xml:space="preserve">,  13 : 151, 14 p. </w:t>
      </w:r>
      <w:r w:rsidRPr="00C15F58">
        <w:rPr>
          <w:rFonts w:ascii="Arial" w:eastAsia="MS Minngs" w:hAnsi="Arial" w:cs="Arial"/>
          <w:bCs/>
          <w:noProof/>
          <w:sz w:val="18"/>
          <w:szCs w:val="18"/>
          <w:lang w:val="en-GB"/>
        </w:rPr>
        <w:t>(</w:t>
      </w:r>
      <w:hyperlink r:id="rId9" w:history="1">
        <w:r w:rsidRPr="00F22364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https://doi.org/10.1007/s12520-021-01377-2</w:t>
        </w:r>
      </w:hyperlink>
      <w:r w:rsidRPr="00C15F58">
        <w:rPr>
          <w:rFonts w:ascii="Arial" w:eastAsia="MS Minngs" w:hAnsi="Arial" w:cs="Arial"/>
          <w:bCs/>
          <w:noProof/>
          <w:sz w:val="18"/>
          <w:szCs w:val="18"/>
          <w:lang w:val="en-GB"/>
        </w:rPr>
        <w:t>)</w:t>
      </w:r>
      <w:r>
        <w:rPr>
          <w:rFonts w:ascii="Arial" w:eastAsia="MS Minngs" w:hAnsi="Arial" w:cs="Arial"/>
          <w:bCs/>
          <w:noProof/>
          <w:sz w:val="18"/>
          <w:szCs w:val="18"/>
          <w:lang w:val="en-GB"/>
        </w:rPr>
        <w:t xml:space="preserve"> (zotero)</w:t>
      </w:r>
    </w:p>
    <w:p w:rsidR="00EF4372" w:rsidRDefault="00EF4372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  <w:r w:rsidRPr="00091CE3">
        <w:rPr>
          <w:rFonts w:ascii="Arial" w:eastAsia="MS Minngs" w:hAnsi="Arial" w:cs="Arial"/>
          <w:bCs/>
          <w:noProof/>
          <w:color w:val="0070C0"/>
          <w:lang w:val="en-GB"/>
        </w:rPr>
        <w:t xml:space="preserve">Coutinho-Nogueira D., Coqueugniot H., Tillier A.-m. 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(2021) – </w:t>
      </w:r>
      <w:r w:rsidRPr="00091CE3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Quafzeh 9 early modern human from Southwest Asia : age at death and sex estimation re-assessed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. </w:t>
      </w:r>
      <w:r w:rsidRPr="00091CE3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Homo : Journal of Comparative Human Biology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 13 p </w:t>
      </w:r>
      <w:r w:rsidRPr="00091CE3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r w:rsidRPr="00091CE3">
        <w:rPr>
          <w:rFonts w:ascii="Arial" w:eastAsia="MS Minngs" w:hAnsi="Arial" w:cs="Arial"/>
          <w:bCs/>
          <w:noProof/>
          <w:sz w:val="18"/>
          <w:szCs w:val="18"/>
          <w:lang w:val="en-GB"/>
        </w:rPr>
        <w:t>DOI : 10.1127/homo/2021/1513</w:t>
      </w:r>
      <w:r w:rsidR="00091CE3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 (zotero)</w:t>
      </w:r>
    </w:p>
    <w:p w:rsidR="001D6823" w:rsidRPr="00723E44" w:rsidRDefault="00723E44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Cvrcek J., Veleminsky P., Dupej J., Jor T., </w:t>
      </w:r>
      <w:r w:rsidRPr="002102BD">
        <w:rPr>
          <w:rFonts w:ascii="Arial" w:eastAsia="MS Minngs" w:hAnsi="Arial" w:cs="Arial"/>
          <w:bCs/>
          <w:noProof/>
          <w:color w:val="0070C0"/>
          <w:lang w:val="en-GB"/>
        </w:rPr>
        <w:t xml:space="preserve">Bruzek J. </w:t>
      </w:r>
      <w:r w:rsidRPr="009924A8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(2021) </w:t>
      </w:r>
      <w:r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>–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</w:t>
      </w:r>
      <w:r w:rsidRPr="00723E44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Kinship and the familial occurrence of skeletal developmental anomalies in the noble Swéerts-Sporck family (Bohemia, 17</w:t>
      </w:r>
      <w:r w:rsidRPr="00723E44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 w:rsidRPr="00723E44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to 20</w:t>
      </w:r>
      <w:r w:rsidRPr="00723E44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 w:rsidRPr="00723E44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centuries).</w:t>
      </w:r>
      <w:r w:rsidRPr="00723E44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Pr="00723E44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International Journal of Paleopathology</w:t>
      </w:r>
      <w:r w:rsidRPr="00723E44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vol. 34, p. 163-167. </w:t>
      </w:r>
      <w:r w:rsidRPr="00723E4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10" w:history="1">
        <w:r w:rsidRPr="00723E44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https://doi.org/10.1016/j.ijpp.2021.07.005</w:t>
        </w:r>
      </w:hyperlink>
      <w:r w:rsidRPr="00723E4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 (zotero)</w:t>
      </w:r>
    </w:p>
    <w:p w:rsidR="00C55407" w:rsidRDefault="00351386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</w:pPr>
      <w:r w:rsidRPr="00294937">
        <w:rPr>
          <w:rFonts w:ascii="Arial" w:eastAsia="MS Minngs" w:hAnsi="Arial" w:cs="Arial"/>
          <w:bCs/>
          <w:noProof/>
          <w:color w:val="0070C0"/>
          <w:lang w:val="en-GB"/>
        </w:rPr>
        <w:t xml:space="preserve">Dutour O., Colombo A., Coqueugniot H. </w:t>
      </w:r>
      <w:r w:rsidR="00DF1B17"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>(2021) –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Was the rise of TB contemporaneous with the industrial revolution ? Epidemiological evolution of TB in France (17</w:t>
      </w:r>
      <w:r w:rsidRPr="00351386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-20</w:t>
      </w:r>
      <w:r w:rsidRPr="00351386">
        <w:rPr>
          <w:rFonts w:ascii="Arial" w:eastAsia="MS Minngs" w:hAnsi="Arial" w:cs="Arial"/>
          <w:b/>
          <w:bCs/>
          <w:noProof/>
          <w:color w:val="000000" w:themeColor="text1"/>
          <w:vertAlign w:val="superscript"/>
          <w:lang w:val="en-GB"/>
        </w:rPr>
        <w:t>th</w:t>
      </w:r>
      <w:r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 centuries) inferred from osteoarchaeological and historical archives</w:t>
      </w:r>
      <w:r w:rsidR="00DF1B17"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>.</w:t>
      </w:r>
      <w:r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 xml:space="preserve"> International Journal of Paleopathology</w:t>
      </w:r>
      <w:r w:rsidR="00DF1B17" w:rsidRPr="00351386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</w:t>
      </w:r>
      <w:r w:rsidR="002110EC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vol. 34, p. 130-133. </w:t>
      </w:r>
      <w:r w:rsidR="00DF1B17" w:rsidRPr="00351386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11" w:history="1">
        <w:r w:rsidR="00C55407" w:rsidRPr="002A5115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https://doi.org/10.1016/j.ijpp.2021.04.005</w:t>
        </w:r>
      </w:hyperlink>
      <w:r w:rsidR="002110EC" w:rsidRPr="002110EC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</w:t>
      </w:r>
      <w:r w:rsidR="00DF1B17" w:rsidRPr="00351386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 xml:space="preserve"> </w:t>
      </w:r>
      <w:r w:rsidR="00C55407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(zotero)</w:t>
      </w:r>
    </w:p>
    <w:p w:rsidR="009769D1" w:rsidRPr="00A86CA2" w:rsidRDefault="009769D1" w:rsidP="00B75E53">
      <w:pPr>
        <w:jc w:val="both"/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</w:pPr>
      <w:r>
        <w:rPr>
          <w:rFonts w:ascii="Arial" w:eastAsia="MS Minngs" w:hAnsi="Arial" w:cs="Arial"/>
          <w:bCs/>
          <w:noProof/>
          <w:color w:val="0070C0"/>
          <w:lang w:val="en-GB"/>
        </w:rPr>
        <w:t xml:space="preserve">Gala M., Laroulandie V., Lenoble A. 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(2020) – </w:t>
      </w:r>
      <w:r w:rsidRPr="00953FB1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 xml:space="preserve">Past distribution of the Burrowing Owl (Athene cunicularia) in the Lesser Antilles : new evidence from Saint Martin and </w:t>
      </w:r>
      <w:r w:rsidRPr="00953FB1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lastRenderedPageBreak/>
        <w:t>Guadeloupe (F.W.I.)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. </w:t>
      </w:r>
      <w:r w:rsidRPr="009769D1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The Wilson Journal of Ornithology</w:t>
      </w: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t>, vol. 132, n° 4, p. 868-880.</w:t>
      </w:r>
      <w:r w:rsidR="00DF73E4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="00DF73E4" w:rsidRPr="00DF73E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12" w:history="1">
        <w:r w:rsidR="00DF73E4" w:rsidRPr="00DF73E4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https://doi.org/10.1676/19-00135</w:t>
        </w:r>
      </w:hyperlink>
      <w:r w:rsidR="00DF73E4" w:rsidRPr="00DF73E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 (zotero)</w:t>
      </w:r>
    </w:p>
    <w:p w:rsidR="00B75E53" w:rsidRDefault="00B75E53" w:rsidP="00B75E53">
      <w:pPr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  <w:r w:rsidRPr="00B75E53">
        <w:rPr>
          <w:rFonts w:ascii="Arial" w:eastAsia="MS Minngs" w:hAnsi="Arial" w:cs="Arial"/>
          <w:bCs/>
          <w:noProof/>
          <w:color w:val="0070C0"/>
          <w:lang w:val="en-GB"/>
        </w:rPr>
        <w:t xml:space="preserve">Knüsel C.J. </w:t>
      </w:r>
      <w:r w:rsidRPr="00272D35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(2021) – </w:t>
      </w:r>
      <w:r w:rsidRPr="002A6041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The unwritten history of medical treatment : evidence for ritual-healers and their activities in the pre-literate past.</w:t>
      </w:r>
      <w:r w:rsidRPr="00272D35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</w:t>
      </w:r>
      <w:r w:rsidRPr="00272D35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International Journal of Paleopathology</w:t>
      </w:r>
      <w:r w:rsidRPr="00272D35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vol. 34, p. 206-216. </w:t>
      </w:r>
      <w:r w:rsidRPr="00723E4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13" w:history="1">
        <w:r w:rsidR="00723E44" w:rsidRPr="00723E44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https://doi.org/10.1016/j.ijpp.2021.06.0038</w:t>
        </w:r>
      </w:hyperlink>
      <w:r w:rsidRPr="00723E4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</w:t>
      </w:r>
      <w:r w:rsidR="00723E44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 xml:space="preserve"> (zotero)</w:t>
      </w:r>
    </w:p>
    <w:p w:rsidR="00A00DD3" w:rsidRPr="00E57F29" w:rsidRDefault="00A00DD3" w:rsidP="00245161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sz w:val="18"/>
          <w:szCs w:val="18"/>
          <w:lang w:val="en-GB" w:eastAsia="fr-FR"/>
        </w:rPr>
      </w:pPr>
      <w:r>
        <w:rPr>
          <w:rFonts w:ascii="Arial" w:eastAsia="MS Minngs" w:hAnsi="Arial" w:cs="Arial"/>
          <w:noProof/>
          <w:lang w:val="en-GB" w:eastAsia="fr-FR"/>
        </w:rPr>
        <w:t xml:space="preserve">Lépinau A. de, </w:t>
      </w:r>
      <w:r w:rsidRPr="001D3819">
        <w:rPr>
          <w:rFonts w:ascii="Arial" w:eastAsia="MS Minngs" w:hAnsi="Arial" w:cs="Arial"/>
          <w:noProof/>
          <w:color w:val="0070C0"/>
          <w:lang w:val="en-GB" w:eastAsia="fr-FR"/>
        </w:rPr>
        <w:t>Castex D.</w:t>
      </w:r>
      <w:r>
        <w:rPr>
          <w:rFonts w:ascii="Arial" w:eastAsia="MS Minngs" w:hAnsi="Arial" w:cs="Arial"/>
          <w:noProof/>
          <w:lang w:val="en-GB" w:eastAsia="fr-FR"/>
        </w:rPr>
        <w:t xml:space="preserve">, Brzobohatá H., Frolík J., Velímsky F., </w:t>
      </w:r>
      <w:r w:rsidRPr="001D3819">
        <w:rPr>
          <w:rFonts w:ascii="Arial" w:eastAsia="MS Minngs" w:hAnsi="Arial" w:cs="Arial"/>
          <w:noProof/>
          <w:color w:val="0070C0"/>
          <w:lang w:val="en-GB" w:eastAsia="fr-FR"/>
        </w:rPr>
        <w:t>Bruzek J.</w:t>
      </w:r>
      <w:r>
        <w:rPr>
          <w:rFonts w:ascii="Arial" w:eastAsia="MS Minngs" w:hAnsi="Arial" w:cs="Arial"/>
          <w:noProof/>
          <w:lang w:val="en-GB" w:eastAsia="fr-FR"/>
        </w:rPr>
        <w:t xml:space="preserve">, Velemínsky P., Kacki S. (2021) – </w:t>
      </w:r>
      <w:r w:rsidRPr="001D3819">
        <w:rPr>
          <w:rFonts w:ascii="Arial" w:eastAsia="MS Minngs" w:hAnsi="Arial" w:cs="Arial"/>
          <w:b/>
          <w:noProof/>
          <w:lang w:val="en-GB" w:eastAsia="fr-FR"/>
        </w:rPr>
        <w:t>Entre peste et famine : caractérisation d’une crise de mortalité par l’étude de trois sépultures multiple</w:t>
      </w:r>
      <w:r w:rsidR="0090251B">
        <w:rPr>
          <w:rFonts w:ascii="Arial" w:eastAsia="MS Minngs" w:hAnsi="Arial" w:cs="Arial"/>
          <w:b/>
          <w:noProof/>
          <w:lang w:val="en-GB" w:eastAsia="fr-FR"/>
        </w:rPr>
        <w:t>s</w:t>
      </w:r>
      <w:r w:rsidRPr="001D3819">
        <w:rPr>
          <w:rFonts w:ascii="Arial" w:eastAsia="MS Minngs" w:hAnsi="Arial" w:cs="Arial"/>
          <w:b/>
          <w:noProof/>
          <w:lang w:val="en-GB" w:eastAsia="fr-FR"/>
        </w:rPr>
        <w:t xml:space="preserve"> du site de Kutná Hora – Sedlec (République tchèque, XIVe siècle)</w:t>
      </w:r>
      <w:r>
        <w:rPr>
          <w:rFonts w:ascii="Arial" w:eastAsia="MS Minngs" w:hAnsi="Arial" w:cs="Arial"/>
          <w:noProof/>
          <w:lang w:val="en-GB" w:eastAsia="fr-FR"/>
        </w:rPr>
        <w:t xml:space="preserve">. </w:t>
      </w:r>
      <w:r w:rsidRPr="001D3819">
        <w:rPr>
          <w:rFonts w:ascii="Arial" w:eastAsia="MS Minngs" w:hAnsi="Arial" w:cs="Arial"/>
          <w:i/>
          <w:noProof/>
          <w:lang w:val="en-GB" w:eastAsia="fr-FR"/>
        </w:rPr>
        <w:t>BMSAP</w:t>
      </w:r>
      <w:r>
        <w:rPr>
          <w:rFonts w:ascii="Arial" w:eastAsia="MS Minngs" w:hAnsi="Arial" w:cs="Arial"/>
          <w:noProof/>
          <w:lang w:val="en-GB" w:eastAsia="fr-FR"/>
        </w:rPr>
        <w:t xml:space="preserve">, vol. 33, n° 2. </w:t>
      </w:r>
      <w:r w:rsidRPr="00E57F29">
        <w:rPr>
          <w:rFonts w:ascii="Arial" w:eastAsia="MS Minngs" w:hAnsi="Arial" w:cs="Arial"/>
          <w:noProof/>
          <w:sz w:val="18"/>
          <w:szCs w:val="18"/>
          <w:lang w:val="en-GB" w:eastAsia="fr-FR"/>
        </w:rPr>
        <w:t>(</w:t>
      </w:r>
      <w:hyperlink r:id="rId14" w:history="1">
        <w:r w:rsidRPr="00E57F29">
          <w:rPr>
            <w:rStyle w:val="Lienhypertexte"/>
            <w:rFonts w:ascii="Arial" w:eastAsia="MS Minngs" w:hAnsi="Arial" w:cs="Arial"/>
            <w:noProof/>
            <w:sz w:val="18"/>
            <w:szCs w:val="18"/>
            <w:lang w:val="en-GB" w:eastAsia="fr-FR"/>
          </w:rPr>
          <w:t>https://journals.openedition.org/bmsap/7664</w:t>
        </w:r>
      </w:hyperlink>
      <w:r w:rsidRPr="00E57F29">
        <w:rPr>
          <w:rFonts w:ascii="Arial" w:eastAsia="MS Minngs" w:hAnsi="Arial" w:cs="Arial"/>
          <w:noProof/>
          <w:sz w:val="18"/>
          <w:szCs w:val="18"/>
          <w:lang w:val="en-GB" w:eastAsia="fr-FR"/>
        </w:rPr>
        <w:t>) (zotero)</w:t>
      </w:r>
    </w:p>
    <w:p w:rsidR="00A00DD3" w:rsidRDefault="00A00DD3" w:rsidP="00245161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lang w:val="en-GB" w:eastAsia="fr-FR"/>
        </w:rPr>
      </w:pPr>
    </w:p>
    <w:p w:rsidR="00245161" w:rsidRPr="00245161" w:rsidRDefault="00245161" w:rsidP="00245161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 w:rsidRPr="00245161">
        <w:rPr>
          <w:rFonts w:ascii="Arial" w:eastAsia="MS Minngs" w:hAnsi="Arial" w:cs="Arial"/>
          <w:noProof/>
          <w:color w:val="0070C0"/>
          <w:lang w:val="en-GB" w:eastAsia="fr-FR"/>
        </w:rPr>
        <w:t>Natahi S.</w:t>
      </w:r>
      <w:r w:rsidRPr="00245161">
        <w:rPr>
          <w:rFonts w:ascii="Arial" w:eastAsia="MS Minngs" w:hAnsi="Arial" w:cs="Arial"/>
          <w:noProof/>
          <w:color w:val="000000"/>
          <w:lang w:val="en-GB" w:eastAsia="fr-FR"/>
        </w:rPr>
        <w:t xml:space="preserve">, Coquerelle M., Darras V., Faugère B., Fisher C.T., Pereira G., </w:t>
      </w:r>
      <w:r w:rsidRPr="00245161">
        <w:rPr>
          <w:rFonts w:ascii="Arial" w:eastAsia="MS Minngs" w:hAnsi="Arial" w:cs="Arial"/>
          <w:noProof/>
          <w:color w:val="0070C0"/>
          <w:lang w:val="en-GB" w:eastAsia="fr-FR"/>
        </w:rPr>
        <w:t>Bayle P.</w:t>
      </w:r>
      <w:r w:rsidRPr="00245161">
        <w:rPr>
          <w:rFonts w:ascii="Arial" w:eastAsia="MS Minngs" w:hAnsi="Arial" w:cs="Arial"/>
          <w:noProof/>
          <w:color w:val="000000"/>
          <w:lang w:val="en-GB" w:eastAsia="fr-FR"/>
        </w:rPr>
        <w:t xml:space="preserve"> (2021) – </w:t>
      </w:r>
      <w:r w:rsidRPr="00245161">
        <w:rPr>
          <w:rFonts w:ascii="Arial" w:eastAsia="MS Minngs" w:hAnsi="Arial" w:cs="Arial"/>
          <w:b/>
          <w:noProof/>
          <w:color w:val="000000"/>
          <w:lang w:val="en-GB" w:eastAsia="fr-FR"/>
        </w:rPr>
        <w:t>Evaluating the efficiency of isolated calvaria bones shape changes in the identification and differentiation of artificial cranial modification techniques among pre-Hispanic western and central Mesoamerican populations</w:t>
      </w:r>
      <w:r w:rsidRPr="00245161">
        <w:rPr>
          <w:rFonts w:ascii="Arial" w:eastAsia="MS Minngs" w:hAnsi="Arial" w:cs="Arial"/>
          <w:noProof/>
          <w:color w:val="000000"/>
          <w:lang w:val="en-GB" w:eastAsia="fr-FR"/>
        </w:rPr>
        <w:t xml:space="preserve">. </w:t>
      </w:r>
      <w:r w:rsidRPr="00245161">
        <w:rPr>
          <w:rFonts w:ascii="Arial" w:eastAsia="MS Minngs" w:hAnsi="Arial" w:cs="Arial"/>
          <w:i/>
          <w:noProof/>
          <w:color w:val="000000"/>
          <w:lang w:val="en-GB" w:eastAsia="fr-FR"/>
        </w:rPr>
        <w:t>Journal of Archaeological Science : Reports</w:t>
      </w:r>
      <w:r w:rsidRPr="00245161">
        <w:rPr>
          <w:rFonts w:ascii="Arial" w:eastAsia="MS Minngs" w:hAnsi="Arial" w:cs="Arial"/>
          <w:noProof/>
          <w:color w:val="000000"/>
          <w:lang w:val="en-GB" w:eastAsia="fr-FR"/>
        </w:rPr>
        <w:t xml:space="preserve">, vol. 39, 103138, 16 p. </w:t>
      </w:r>
      <w:r w:rsidRPr="00245161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(https://doi.org/10.1016/j.jasrep.2021.103181) (zotero)</w:t>
      </w:r>
    </w:p>
    <w:p w:rsidR="00245161" w:rsidRDefault="00245161" w:rsidP="00D06336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</w:p>
    <w:p w:rsidR="00A86CA2" w:rsidRDefault="00A86CA2" w:rsidP="00D06336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 w:rsidRPr="00A86CA2">
        <w:rPr>
          <w:rFonts w:ascii="Arial" w:eastAsia="MS Minngs" w:hAnsi="Arial" w:cs="Arial"/>
          <w:noProof/>
          <w:color w:val="000000"/>
          <w:lang w:val="en-GB" w:eastAsia="fr-FR"/>
        </w:rPr>
        <w:t xml:space="preserve">Rufà A., </w:t>
      </w:r>
      <w:r w:rsidRPr="00C14D04">
        <w:rPr>
          <w:rFonts w:ascii="Arial" w:eastAsia="MS Minngs" w:hAnsi="Arial" w:cs="Arial"/>
          <w:noProof/>
          <w:color w:val="0070C0"/>
          <w:lang w:val="en-GB" w:eastAsia="fr-FR"/>
        </w:rPr>
        <w:t xml:space="preserve">Laroulandie V. </w:t>
      </w:r>
      <w:r w:rsidRPr="00A86CA2">
        <w:rPr>
          <w:rFonts w:ascii="Arial" w:eastAsia="MS Minngs" w:hAnsi="Arial" w:cs="Arial"/>
          <w:noProof/>
          <w:color w:val="000000"/>
          <w:lang w:val="en-GB" w:eastAsia="fr-FR"/>
        </w:rPr>
        <w:t xml:space="preserve">(2021) – </w:t>
      </w:r>
      <w:r w:rsidRPr="00C14D04">
        <w:rPr>
          <w:rFonts w:ascii="Arial" w:eastAsia="MS Minngs" w:hAnsi="Arial" w:cs="Arial"/>
          <w:b/>
          <w:noProof/>
          <w:color w:val="000000"/>
          <w:lang w:val="en-GB" w:eastAsia="fr-FR"/>
        </w:rPr>
        <w:t>Unravelling the taphonomic stories of bird bones from the Middle Pleistocene Layer VIII of Grotte Vaufrey, France</w:t>
      </w:r>
      <w:r w:rsidRPr="00A86CA2">
        <w:rPr>
          <w:rFonts w:ascii="Arial" w:eastAsia="MS Minngs" w:hAnsi="Arial" w:cs="Arial"/>
          <w:noProof/>
          <w:color w:val="000000"/>
          <w:lang w:val="en-GB" w:eastAsia="fr-FR"/>
        </w:rPr>
        <w:t xml:space="preserve">. </w:t>
      </w:r>
      <w:r w:rsidRPr="00C14D04">
        <w:rPr>
          <w:rFonts w:ascii="Arial" w:eastAsia="MS Minngs" w:hAnsi="Arial" w:cs="Arial"/>
          <w:i/>
          <w:noProof/>
          <w:color w:val="000000"/>
          <w:lang w:val="en-GB" w:eastAsia="fr-FR"/>
        </w:rPr>
        <w:t>Quaternary</w:t>
      </w:r>
      <w:r w:rsidRPr="00A86CA2">
        <w:rPr>
          <w:rFonts w:ascii="Arial" w:eastAsia="MS Minngs" w:hAnsi="Arial" w:cs="Arial"/>
          <w:noProof/>
          <w:color w:val="000000"/>
          <w:lang w:val="en-GB" w:eastAsia="fr-FR"/>
        </w:rPr>
        <w:t xml:space="preserve">, 4, 30. </w:t>
      </w:r>
      <w:r w:rsidRPr="00A86CA2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(</w:t>
      </w:r>
      <w:hyperlink r:id="rId15" w:history="1">
        <w:r w:rsidRPr="00A86CA2">
          <w:rPr>
            <w:rStyle w:val="Lienhypertexte"/>
            <w:rFonts w:ascii="Arial" w:eastAsia="MS Minngs" w:hAnsi="Arial" w:cs="Arial"/>
            <w:noProof/>
            <w:sz w:val="18"/>
            <w:szCs w:val="18"/>
            <w:lang w:val="en-GB" w:eastAsia="fr-FR"/>
          </w:rPr>
          <w:t>https://doi.org/10.3390/quat4040030</w:t>
        </w:r>
      </w:hyperlink>
      <w:r w:rsidRPr="00A86CA2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) (zotero)</w:t>
      </w:r>
    </w:p>
    <w:p w:rsidR="00A86CA2" w:rsidRDefault="00A86CA2" w:rsidP="00D06336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</w:p>
    <w:p w:rsidR="00D06336" w:rsidRPr="00D06336" w:rsidRDefault="00426337" w:rsidP="00D06336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>
        <w:rPr>
          <w:rFonts w:ascii="Arial" w:eastAsia="MS Minngs" w:hAnsi="Arial" w:cs="Arial"/>
          <w:noProof/>
          <w:color w:val="000000"/>
          <w:lang w:val="en-GB" w:eastAsia="fr-FR"/>
        </w:rPr>
        <w:t>Yin R., Luan F.</w:t>
      </w:r>
      <w:r w:rsidR="00D06336" w:rsidRPr="00D06336">
        <w:rPr>
          <w:rFonts w:ascii="Arial" w:eastAsia="MS Minngs" w:hAnsi="Arial" w:cs="Arial"/>
          <w:noProof/>
          <w:color w:val="000000"/>
          <w:lang w:val="en-GB" w:eastAsia="fr-FR"/>
        </w:rPr>
        <w:t xml:space="preserve">, </w:t>
      </w:r>
      <w:r w:rsidR="00D06336" w:rsidRPr="00D06336">
        <w:rPr>
          <w:rFonts w:ascii="Arial" w:eastAsia="MS Minngs" w:hAnsi="Arial" w:cs="Arial"/>
          <w:noProof/>
          <w:color w:val="0070C0"/>
          <w:lang w:val="en-GB" w:eastAsia="fr-FR"/>
        </w:rPr>
        <w:t>Doyon L.</w:t>
      </w:r>
      <w:r w:rsidR="00D06336" w:rsidRPr="00D06336">
        <w:rPr>
          <w:rFonts w:ascii="Arial" w:eastAsia="MS Minngs" w:hAnsi="Arial" w:cs="Arial"/>
          <w:noProof/>
          <w:color w:val="000000"/>
          <w:lang w:val="en-GB" w:eastAsia="fr-FR"/>
        </w:rPr>
        <w:t xml:space="preserve"> (2021) - </w:t>
      </w:r>
      <w:r w:rsidR="00D06336" w:rsidRPr="00D06336">
        <w:rPr>
          <w:rFonts w:ascii="Arial" w:eastAsia="MS Minngs" w:hAnsi="Arial" w:cs="Arial" w:hint="eastAsia"/>
          <w:b/>
          <w:noProof/>
          <w:color w:val="000000"/>
          <w:lang w:eastAsia="fr-FR"/>
        </w:rPr>
        <w:t>西方骨器研究的理</w:t>
      </w:r>
      <w:r w:rsidR="00D06336" w:rsidRPr="00D06336">
        <w:rPr>
          <w:rFonts w:ascii="Microsoft JhengHei" w:eastAsia="Microsoft JhengHei" w:hAnsi="Microsoft JhengHei" w:cs="Microsoft JhengHei" w:hint="eastAsia"/>
          <w:b/>
          <w:noProof/>
          <w:color w:val="000000"/>
          <w:lang w:eastAsia="fr-FR"/>
        </w:rPr>
        <w:t>论</w:t>
      </w:r>
      <w:r w:rsidR="00D06336" w:rsidRPr="00D06336">
        <w:rPr>
          <w:rFonts w:ascii="Yu Gothic UI" w:eastAsia="Yu Gothic UI" w:hAnsi="Yu Gothic UI" w:cs="Yu Gothic UI" w:hint="eastAsia"/>
          <w:b/>
          <w:noProof/>
          <w:color w:val="000000"/>
          <w:lang w:eastAsia="fr-FR"/>
        </w:rPr>
        <w:t>与</w:t>
      </w:r>
      <w:r w:rsidR="00D06336" w:rsidRPr="00D06336">
        <w:rPr>
          <w:rFonts w:ascii="Microsoft JhengHei" w:eastAsia="Microsoft JhengHei" w:hAnsi="Microsoft JhengHei" w:cs="Microsoft JhengHei" w:hint="eastAsia"/>
          <w:b/>
          <w:noProof/>
          <w:color w:val="000000"/>
          <w:lang w:eastAsia="fr-FR"/>
        </w:rPr>
        <w:t>实</w:t>
      </w:r>
      <w:r w:rsidR="00D06336" w:rsidRPr="00D06336">
        <w:rPr>
          <w:rFonts w:ascii="Yu Gothic UI" w:eastAsia="Yu Gothic UI" w:hAnsi="Yu Gothic UI" w:cs="Yu Gothic UI" w:hint="eastAsia"/>
          <w:b/>
          <w:noProof/>
          <w:color w:val="000000"/>
          <w:lang w:eastAsia="fr-FR"/>
        </w:rPr>
        <w:t>践</w:t>
      </w:r>
      <w:r w:rsidR="00D06336" w:rsidRPr="00D06336">
        <w:rPr>
          <w:rFonts w:ascii="Arial" w:eastAsia="MS Minngs" w:hAnsi="Arial" w:cs="Arial"/>
          <w:b/>
          <w:noProof/>
          <w:color w:val="000000"/>
          <w:lang w:eastAsia="fr-FR"/>
        </w:rPr>
        <w:t xml:space="preserve"> (Theory and Practice for the Study of Bone Technology in the West)</w:t>
      </w:r>
      <w:r w:rsidR="00D06336" w:rsidRPr="00D06336">
        <w:rPr>
          <w:rFonts w:ascii="Arial" w:eastAsia="MS Minngs" w:hAnsi="Arial" w:cs="Arial"/>
          <w:noProof/>
          <w:color w:val="000000"/>
          <w:lang w:eastAsia="fr-FR"/>
        </w:rPr>
        <w:t xml:space="preserve">. </w:t>
      </w:r>
      <w:r w:rsidR="00D06336" w:rsidRPr="00D06336">
        <w:rPr>
          <w:rFonts w:ascii="Microsoft JhengHei" w:eastAsia="Microsoft JhengHei" w:hAnsi="Microsoft JhengHei" w:cs="Microsoft JhengHei" w:hint="eastAsia"/>
          <w:i/>
          <w:iCs/>
          <w:noProof/>
          <w:color w:val="000000"/>
          <w:lang w:eastAsia="fr-FR"/>
        </w:rPr>
        <w:t>东</w:t>
      </w:r>
      <w:r w:rsidR="00D06336" w:rsidRPr="00D06336">
        <w:rPr>
          <w:rFonts w:ascii="Yu Gothic UI" w:eastAsia="Yu Gothic UI" w:hAnsi="Yu Gothic UI" w:cs="Yu Gothic UI" w:hint="eastAsia"/>
          <w:i/>
          <w:iCs/>
          <w:noProof/>
          <w:color w:val="000000"/>
          <w:lang w:eastAsia="fr-FR"/>
        </w:rPr>
        <w:t>南文化</w:t>
      </w:r>
      <w:r w:rsidR="00D06336" w:rsidRPr="00D06336">
        <w:rPr>
          <w:rFonts w:ascii="Arial" w:eastAsia="MS Minngs" w:hAnsi="Arial" w:cs="Arial"/>
          <w:i/>
          <w:iCs/>
          <w:noProof/>
          <w:color w:val="000000"/>
          <w:lang w:eastAsia="fr-FR"/>
        </w:rPr>
        <w:t xml:space="preserve">  (Southeastern Culture), </w:t>
      </w:r>
      <w:r w:rsidR="00D06336" w:rsidRPr="00D06336">
        <w:rPr>
          <w:rFonts w:ascii="Arial" w:eastAsia="MS Minngs" w:hAnsi="Arial" w:cs="Arial"/>
          <w:iCs/>
          <w:noProof/>
          <w:color w:val="000000"/>
          <w:lang w:eastAsia="fr-FR"/>
        </w:rPr>
        <w:t>vol.</w:t>
      </w:r>
      <w:r w:rsidR="00D06336" w:rsidRPr="00D06336">
        <w:rPr>
          <w:rFonts w:ascii="Arial" w:eastAsia="MS Minngs" w:hAnsi="Arial" w:cs="Arial"/>
          <w:noProof/>
          <w:color w:val="000000"/>
          <w:lang w:eastAsia="fr-FR"/>
        </w:rPr>
        <w:t xml:space="preserve"> 282, no. 4, p. 6-15.</w:t>
      </w:r>
      <w:r w:rsidR="00D06336">
        <w:rPr>
          <w:rFonts w:ascii="Arial" w:eastAsia="MS Minngs" w:hAnsi="Arial" w:cs="Arial"/>
          <w:noProof/>
          <w:color w:val="000000"/>
          <w:lang w:eastAsia="fr-FR"/>
        </w:rPr>
        <w:t xml:space="preserve"> </w:t>
      </w:r>
      <w:r w:rsidR="00D06336" w:rsidRPr="00D06336">
        <w:rPr>
          <w:rFonts w:ascii="Arial" w:eastAsia="MS Minngs" w:hAnsi="Arial" w:cs="Arial"/>
          <w:noProof/>
          <w:color w:val="000000"/>
          <w:sz w:val="18"/>
          <w:szCs w:val="18"/>
          <w:lang w:eastAsia="fr-FR"/>
        </w:rPr>
        <w:t>(zotero)</w:t>
      </w:r>
    </w:p>
    <w:p w:rsidR="000F442B" w:rsidRDefault="00D06336" w:rsidP="000F442B">
      <w:pPr>
        <w:jc w:val="both"/>
        <w:rPr>
          <w:rFonts w:ascii="Arial" w:eastAsia="MS Minngs" w:hAnsi="Arial" w:cs="Arial"/>
          <w:bCs/>
          <w:noProof/>
          <w:color w:val="000000" w:themeColor="text1"/>
          <w:lang w:val="en-GB"/>
        </w:rPr>
      </w:pPr>
      <w:r>
        <w:rPr>
          <w:rFonts w:ascii="Arial" w:eastAsia="MS Minngs" w:hAnsi="Arial" w:cs="Arial"/>
          <w:bCs/>
          <w:noProof/>
          <w:color w:val="000000" w:themeColor="text1"/>
          <w:lang w:val="en-GB"/>
        </w:rPr>
        <w:br/>
      </w:r>
      <w:r w:rsidR="000F442B" w:rsidRPr="000F442B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Loiseau J., Dorso S., </w:t>
      </w:r>
      <w:r w:rsidR="000F442B" w:rsidRPr="000F442B">
        <w:rPr>
          <w:rFonts w:ascii="Arial" w:eastAsia="MS Minngs" w:hAnsi="Arial" w:cs="Arial"/>
          <w:bCs/>
          <w:noProof/>
          <w:color w:val="0070C0"/>
          <w:lang w:val="en-GB"/>
        </w:rPr>
        <w:t>Gleize Y.,</w:t>
      </w:r>
      <w:r w:rsidR="000F442B" w:rsidRPr="000F442B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 Ollivier D., Ayenachew D., Berhe H., Chekroun A., Hirsch B. (2021) – </w:t>
      </w:r>
      <w:r w:rsidR="000F442B" w:rsidRPr="000F442B">
        <w:rPr>
          <w:rFonts w:ascii="Arial" w:eastAsia="MS Minngs" w:hAnsi="Arial" w:cs="Arial"/>
          <w:b/>
          <w:bCs/>
          <w:noProof/>
          <w:color w:val="000000" w:themeColor="text1"/>
          <w:lang w:val="en-GB"/>
        </w:rPr>
        <w:t>Bilet and the wider world : new insights into the archaeology of Islam in Tigray</w:t>
      </w:r>
      <w:r w:rsidR="000F442B" w:rsidRPr="000F442B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. </w:t>
      </w:r>
      <w:r w:rsidR="000F442B" w:rsidRPr="000F442B">
        <w:rPr>
          <w:rFonts w:ascii="Arial" w:eastAsia="MS Minngs" w:hAnsi="Arial" w:cs="Arial"/>
          <w:bCs/>
          <w:i/>
          <w:noProof/>
          <w:color w:val="000000" w:themeColor="text1"/>
          <w:lang w:val="en-GB"/>
        </w:rPr>
        <w:t>Antiquity</w:t>
      </w:r>
      <w:r w:rsidR="000F442B" w:rsidRPr="000F442B">
        <w:rPr>
          <w:rFonts w:ascii="Arial" w:eastAsia="MS Minngs" w:hAnsi="Arial" w:cs="Arial"/>
          <w:bCs/>
          <w:noProof/>
          <w:color w:val="000000" w:themeColor="text1"/>
          <w:lang w:val="en-GB"/>
        </w:rPr>
        <w:t xml:space="preserve">, vol. 95, n° 380, p. 508-529. </w:t>
      </w:r>
      <w:r w:rsidR="000F442B" w:rsidRPr="000F442B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(</w:t>
      </w:r>
      <w:hyperlink r:id="rId16" w:history="1">
        <w:r w:rsidR="000F442B" w:rsidRPr="000F442B">
          <w:rPr>
            <w:rStyle w:val="Lienhypertexte"/>
            <w:rFonts w:ascii="Arial" w:eastAsia="MS Minngs" w:hAnsi="Arial" w:cs="Arial"/>
            <w:bCs/>
            <w:noProof/>
            <w:sz w:val="18"/>
            <w:szCs w:val="18"/>
            <w:lang w:val="en-GB"/>
          </w:rPr>
          <w:t>https://doi.org/10.15184/aqy.2020.163</w:t>
        </w:r>
      </w:hyperlink>
      <w:r w:rsidR="000F442B" w:rsidRPr="000F442B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>)</w:t>
      </w:r>
      <w:r w:rsidR="000F442B"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  <w:t xml:space="preserve"> (zotero)</w:t>
      </w:r>
    </w:p>
    <w:p w:rsidR="00F44274" w:rsidRDefault="00957551" w:rsidP="00957551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  <w:r w:rsidRPr="00957551">
        <w:rPr>
          <w:rFonts w:ascii="Arial" w:eastAsia="MS Minngs" w:hAnsi="Arial" w:cs="Arial"/>
          <w:noProof/>
          <w:color w:val="000000"/>
          <w:lang w:val="en-GB" w:eastAsia="fr-FR"/>
        </w:rPr>
        <w:t xml:space="preserve">Salmon F., Mindeguia J.-C., Lacanette D., Sirieix C., Leblanc J.-C., </w:t>
      </w:r>
      <w:r w:rsidRPr="00957551">
        <w:rPr>
          <w:rFonts w:ascii="Arial" w:eastAsia="MS Minngs" w:hAnsi="Arial" w:cs="Arial"/>
          <w:noProof/>
          <w:color w:val="0070C0"/>
          <w:lang w:val="en-GB" w:eastAsia="fr-FR"/>
        </w:rPr>
        <w:t>Ferrier C.</w:t>
      </w:r>
      <w:r w:rsidRPr="00957551">
        <w:rPr>
          <w:rFonts w:ascii="Arial" w:eastAsia="MS Minngs" w:hAnsi="Arial" w:cs="Arial"/>
          <w:noProof/>
          <w:color w:val="000000"/>
          <w:lang w:val="en-GB" w:eastAsia="fr-FR"/>
        </w:rPr>
        <w:t xml:space="preserve"> (2021) – </w:t>
      </w:r>
      <w:r w:rsidRPr="00957551">
        <w:rPr>
          <w:rFonts w:ascii="Arial" w:eastAsia="MS Minngs" w:hAnsi="Arial" w:cs="Arial"/>
          <w:b/>
          <w:noProof/>
          <w:color w:val="000000"/>
          <w:lang w:val="en-GB" w:eastAsia="fr-FR"/>
        </w:rPr>
        <w:t>Strategies to challenge the simulation of confined fires</w:t>
      </w:r>
      <w:r w:rsidRPr="00957551">
        <w:rPr>
          <w:rFonts w:ascii="Arial" w:eastAsia="MS Minngs" w:hAnsi="Arial" w:cs="Arial"/>
          <w:noProof/>
          <w:color w:val="000000"/>
          <w:lang w:val="en-GB" w:eastAsia="fr-FR"/>
        </w:rPr>
        <w:t xml:space="preserve">. </w:t>
      </w:r>
      <w:r w:rsidRPr="00957551">
        <w:rPr>
          <w:rFonts w:ascii="Arial" w:eastAsia="MS Minngs" w:hAnsi="Arial" w:cs="Arial"/>
          <w:i/>
          <w:noProof/>
          <w:color w:val="000000"/>
          <w:lang w:val="en-GB" w:eastAsia="fr-FR"/>
        </w:rPr>
        <w:t>Tunnelling and Underground Space Technology incorporating Trenchless Technology Research</w:t>
      </w:r>
      <w:r w:rsidRPr="00957551">
        <w:rPr>
          <w:rFonts w:ascii="Arial" w:eastAsia="MS Minngs" w:hAnsi="Arial" w:cs="Arial"/>
          <w:noProof/>
          <w:color w:val="000000"/>
          <w:lang w:val="en-GB" w:eastAsia="fr-FR"/>
        </w:rPr>
        <w:t xml:space="preserve">, vol. 110, 103806, 12 p. </w:t>
      </w:r>
      <w:r w:rsidRPr="00957551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(</w:t>
      </w:r>
      <w:hyperlink r:id="rId17" w:history="1">
        <w:r w:rsidRPr="00957551">
          <w:rPr>
            <w:rStyle w:val="Lienhypertexte"/>
            <w:rFonts w:ascii="Arial" w:eastAsia="MS Minngs" w:hAnsi="Arial" w:cs="Arial"/>
            <w:noProof/>
            <w:sz w:val="18"/>
            <w:szCs w:val="18"/>
            <w:lang w:val="en-GB" w:eastAsia="fr-FR"/>
          </w:rPr>
          <w:t>https://doi.org/10.1016/j.tust.2020.103806</w:t>
        </w:r>
      </w:hyperlink>
      <w:r w:rsidRPr="00957551">
        <w:rPr>
          <w:rFonts w:ascii="Arial" w:eastAsia="MS Minngs" w:hAnsi="Arial" w:cs="Arial"/>
          <w:noProof/>
          <w:color w:val="000000"/>
          <w:sz w:val="18"/>
          <w:szCs w:val="18"/>
          <w:lang w:val="en-GB" w:eastAsia="fr-FR"/>
        </w:rPr>
        <w:t>) (zotero)</w:t>
      </w:r>
    </w:p>
    <w:p w:rsidR="00F44274" w:rsidRPr="00957551" w:rsidRDefault="006D3135" w:rsidP="00957551">
      <w:pPr>
        <w:autoSpaceDE w:val="0"/>
        <w:autoSpaceDN w:val="0"/>
        <w:spacing w:after="0" w:line="240" w:lineRule="auto"/>
        <w:jc w:val="both"/>
        <w:rPr>
          <w:rFonts w:ascii="Arial" w:eastAsia="MS Minngs" w:hAnsi="Arial" w:cs="Arial"/>
          <w:noProof/>
          <w:color w:val="000000"/>
          <w:lang w:val="en-GB" w:eastAsia="fr-FR"/>
        </w:rPr>
      </w:pPr>
    </w:p>
    <w:p w:rsidR="00C55407" w:rsidRDefault="00C55407" w:rsidP="00DF1B17">
      <w:pPr>
        <w:jc w:val="both"/>
        <w:rPr>
          <w:rFonts w:ascii="Arial" w:eastAsia="MS Minngs" w:hAnsi="Arial" w:cs="Arial"/>
          <w:bCs/>
          <w:noProof/>
          <w:color w:val="000000" w:themeColor="text1"/>
          <w:sz w:val="18"/>
          <w:szCs w:val="18"/>
          <w:lang w:val="en-GB"/>
        </w:rPr>
      </w:pPr>
    </w:p>
    <w:p w:rsidR="00DF1B17" w:rsidRPr="00CE200B" w:rsidRDefault="00DF1B17" w:rsidP="00DF1B17">
      <w:pPr>
        <w:spacing w:after="0" w:line="240" w:lineRule="auto"/>
        <w:ind w:right="12"/>
        <w:jc w:val="both"/>
        <w:rPr>
          <w:rFonts w:ascii="Arial" w:eastAsia="MS Minngs" w:hAnsi="Arial" w:cs="Arial"/>
          <w:b/>
          <w:bCs/>
          <w:noProof/>
          <w:u w:val="single"/>
          <w:lang w:eastAsia="fr-FR"/>
        </w:rPr>
      </w:pPr>
      <w:r w:rsidRPr="00044E5F">
        <w:rPr>
          <w:rFonts w:ascii="Arial" w:eastAsia="MS Minngs" w:hAnsi="Arial" w:cs="Arial"/>
          <w:b/>
          <w:bCs/>
          <w:noProof/>
          <w:lang w:eastAsia="fr-FR"/>
        </w:rPr>
        <w:t>3 • </w:t>
      </w:r>
      <w:r w:rsidRPr="00044E5F">
        <w:rPr>
          <w:rFonts w:ascii="Arial" w:eastAsia="MS Minngs" w:hAnsi="Arial" w:cs="Arial"/>
          <w:b/>
          <w:bCs/>
          <w:noProof/>
          <w:u w:val="single"/>
          <w:lang w:eastAsia="fr-FR"/>
        </w:rPr>
        <w:t>Périodiques</w:t>
      </w:r>
    </w:p>
    <w:p w:rsidR="00DF1B17" w:rsidRDefault="00DF1B17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6D63D2" w:rsidRPr="006D63D2" w:rsidRDefault="006D63D2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 w:rsidRPr="006D63D2"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American Antiquity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, vol. 86, n° 3</w:t>
      </w:r>
      <w:r w:rsidRPr="006D63D2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,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 July</w:t>
      </w:r>
      <w:r w:rsidRPr="006D63D2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 2021</w:t>
      </w:r>
    </w:p>
    <w:p w:rsidR="006D63D2" w:rsidRPr="006D63D2" w:rsidRDefault="006D63D2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6D63D2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(https://www.cambr</w:t>
      </w:r>
      <w:r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idge.org/core/journals/american</w:t>
      </w:r>
      <w:r w:rsidRPr="006D63D2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antiquity/volume/B6C6AB1D7598A6155D6D6898543430DB#)</w:t>
      </w:r>
    </w:p>
    <w:p w:rsidR="006D63D2" w:rsidRPr="006D63D2" w:rsidRDefault="006D63D2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lang w:eastAsia="fr-FR"/>
        </w:rPr>
      </w:pPr>
    </w:p>
    <w:p w:rsidR="006D63D2" w:rsidRPr="006D63D2" w:rsidRDefault="009600AD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Voss B.L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Disrupting cultures of harassment in archaeology : social-environmental and trauma-informed approaches to disciplinary transformation</w:t>
      </w:r>
      <w:r w:rsidR="006D63D2" w:rsidRPr="006D63D2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, 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p. 447-464</w:t>
      </w:r>
    </w:p>
    <w:p w:rsidR="006D63D2" w:rsidRPr="006D63D2" w:rsidRDefault="00347A58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Taylor W.T.T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Interdisciplinary analysis of the Lehi horse : implications for early historic horse cultures of the North American West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, p. 465-485</w:t>
      </w:r>
    </w:p>
    <w:p w:rsidR="006D63D2" w:rsidRPr="006D63D2" w:rsidRDefault="00347A58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Shepard L.M., Russell W.G., Schwartz C.W. et al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The social use and value of blue-green stone mosaics at sites within canal system 2, Phoenix Basin, Hohokam regional system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486-503</w:t>
      </w:r>
    </w:p>
    <w:p w:rsidR="00A609FB" w:rsidRPr="006D63D2" w:rsidRDefault="004D2E45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Lyons N., Hoffmann T., Miller D. et al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Were the ancient coast salish farmers ? A story of origins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504-525</w:t>
      </w:r>
    </w:p>
    <w:p w:rsidR="006D63D2" w:rsidRPr="006D63D2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Metcalfe J.Z., Ives J.W., Shirazi S. et al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Isotopic evidence for long-distance connections of the AD Thirtheen-Century promontory caves occupants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526-548</w:t>
      </w:r>
    </w:p>
    <w:p w:rsidR="006D63D2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Nash S.E., Towner R.H., Dean J.S</w:t>
      </w:r>
      <w:r w:rsidR="006D63D2" w:rsidRPr="006D63D2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curious Douglas-Fir (Pseudotsuga Menziesii) trees in Schulman Grove, Mesa Verde national park, Southwestern Colorado, USA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549-568</w:t>
      </w:r>
    </w:p>
    <w:p w:rsidR="005A2671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Cobb C.R., Legg J.B., Smith S.D. et al.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remains of the Fray : Nascent colonialism and heterogeneous hybridity,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 569-592</w:t>
      </w:r>
    </w:p>
    <w:p w:rsidR="005A2671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lastRenderedPageBreak/>
        <w:t xml:space="preserve">Lesure R.G., Sinensky R.J., Schachner T.A. et al.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Large-scale patterns in the agricultural demographic transition of Mesoamerica and Southwestern North America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593-612</w:t>
      </w:r>
    </w:p>
    <w:p w:rsidR="005A2671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Simon M.L., Hollenbach K.D., Redmond B.G.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New dates and carbon isotope assays of purported middle Woodland maize from the Icehouse Bottom and Edwin Harness sites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613-624</w:t>
      </w:r>
    </w:p>
    <w:p w:rsidR="005A2671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Gill K.M., Braje T.J., Smith K. et al.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Earliest evidence for geophyte use in North America : 11,500-year-old archaeobotanical remains from California’s Santarosae Island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625-637</w:t>
      </w:r>
    </w:p>
    <w:p w:rsidR="005A2671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Blair E.H.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Reconsidering the Precolumbian presence of Venetian glass beads in Alaska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638-642</w:t>
      </w:r>
    </w:p>
    <w:p w:rsidR="005A2671" w:rsidRPr="006D63D2" w:rsidRDefault="005A2671" w:rsidP="006D63D2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Kunz M.L., Mills R.O. – </w:t>
      </w:r>
      <w:r w:rsidRPr="005A2671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Reply to Blair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643-645</w:t>
      </w:r>
    </w:p>
    <w:p w:rsidR="006D63D2" w:rsidRDefault="006D63D2" w:rsidP="00B5521B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6D63D2" w:rsidRDefault="006D63D2" w:rsidP="00B5521B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B5521B" w:rsidRPr="00DF4765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 w:rsidRPr="00DF4765"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Anthropologie</w:t>
      </w:r>
      <w:r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(Brno)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vol. 59, n° 1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, 2021</w:t>
      </w:r>
    </w:p>
    <w:p w:rsidR="00B5521B" w:rsidRPr="00044E5F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(</w:t>
      </w:r>
      <w:r w:rsidRPr="00B5521B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http://puvodni.mzm.cz/Anthropologie/issue.php?Year=2021&amp;Volume=59&amp;Issue=1</w:t>
      </w: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)</w:t>
      </w:r>
    </w:p>
    <w:p w:rsidR="00B5521B" w:rsidRPr="00121F2C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</w:p>
    <w:p w:rsidR="00B5521B" w:rsidRPr="00121F2C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L’Engle Williams F., Brophy J.K., Mathews G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Elliptical Fourier analysis of crown shape in permanent mandibular molars from the Late Neolithic cave burials of Belgium, 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1-14</w:t>
      </w:r>
    </w:p>
    <w:p w:rsidR="00B5521B" w:rsidRPr="00121F2C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Sajid A., Shafique M., Shahzad M., Shahid A.A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Fingerprint patterns and ridge density variations in Pakistani population : a comparative study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15-22</w:t>
      </w:r>
    </w:p>
    <w:p w:rsidR="00B5521B" w:rsidRPr="00121F2C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Kovácová V., Urbanová P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A novel semi-automatic measurement of the semicircular canals of the human bony labyringh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23-34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</w:t>
      </w:r>
    </w:p>
    <w:p w:rsidR="00B5521B" w:rsidRPr="00121F2C" w:rsidRDefault="00B5521B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Pjanic K., Niksic E., Nesimovic S.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Effects of sports and mathematics extracurricular and club activities on academic achievement of middle school pupils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35-43</w:t>
      </w:r>
    </w:p>
    <w:p w:rsidR="00B5521B" w:rsidRPr="00121F2C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Vancatová M., Vancata V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simple objects place in enclosure for gorillas initiate rare or new behavioural patterns – implications for the origin of hominine tool behaviour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45-54</w:t>
      </w:r>
    </w:p>
    <w:p w:rsidR="00B5521B" w:rsidRPr="00121F2C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Khudaverdyan A.Y., Hobosyan S.G., Saratikyan A.A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Bioarchaeological evidence for the health status of a Late Bronze and Early Iron Ages Bover population (Armenia)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55-78</w:t>
      </w:r>
    </w:p>
    <w:p w:rsidR="00B5521B" w:rsidRPr="00121F2C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Jánosová Z., Duranková S., Csanády A., Buková A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somatic development of Romany and non-Romany preschool aged children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79-85</w:t>
      </w:r>
    </w:p>
    <w:p w:rsidR="00B5521B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Galassi F.M., Pate F.D., Antunes-Ferreira N., Varotto E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King Ariarathes IV of Cappadocia’s impotence in the light of thyroid disease : a multidisciplinary palaeopathological analysis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B5521B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87-92</w:t>
      </w:r>
    </w:p>
    <w:p w:rsidR="002C5A23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Armocida E., Galassi F.M., Gruppioni G. et al. – </w:t>
      </w:r>
      <w:r w:rsidRPr="002C5A23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presumed skull of Athalaric, king of the Ostrogoths (AD 516-534) : questioning of a centuy-old attribution and paleopathological study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93-95</w:t>
      </w:r>
    </w:p>
    <w:p w:rsidR="002C5A23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Galassi F.M., Varotto E. – </w:t>
      </w:r>
      <w:r w:rsidRPr="002C5A23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alleged shoes of Michelangelo Buonarroti : anthropometrical considerations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97-99</w:t>
      </w:r>
    </w:p>
    <w:p w:rsidR="002C5A23" w:rsidRPr="00121F2C" w:rsidRDefault="002C5A23" w:rsidP="00B5521B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Saniotis A., Grantham J.P., Kumaratilake J. et al. – </w:t>
      </w:r>
      <w:r w:rsidRPr="002C5A23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Going beyond brain size : an evolutionary overview of serotonergic regulation in human higher cortical functions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101-106</w:t>
      </w:r>
    </w:p>
    <w:p w:rsidR="00040618" w:rsidRDefault="00040618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4A71CA" w:rsidRDefault="004A71CA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4A71CA" w:rsidRPr="00DF4765" w:rsidRDefault="004A71CA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 w:rsidRPr="00DF4765"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Anthropologie</w:t>
      </w:r>
      <w:r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 xml:space="preserve"> (Brno)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vol. 59, n° 2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, 2021</w:t>
      </w:r>
    </w:p>
    <w:p w:rsidR="004A71CA" w:rsidRPr="00044E5F" w:rsidRDefault="004A71CA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(</w:t>
      </w:r>
      <w:r w:rsidRPr="004A71CA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http://puvodni.mzm.cz/Anthropologie/issue.php?Year=2021&amp;Volume=59&amp;Issue=2</w:t>
      </w: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)</w:t>
      </w:r>
    </w:p>
    <w:p w:rsidR="004A71CA" w:rsidRPr="00121F2C" w:rsidRDefault="004A71CA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</w:p>
    <w:p w:rsidR="004A71CA" w:rsidRPr="00121F2C" w:rsidRDefault="004A71CA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Putová B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 w:rsidR="004704DF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Natural history objects, casts and reconstructions and their role in scientific work in the 19</w:t>
      </w:r>
      <w:r w:rsidR="004704DF" w:rsidRPr="004704DF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 w:rsidR="004704DF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and 20</w:t>
      </w:r>
      <w:r w:rsidR="004704DF" w:rsidRPr="004704DF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 w:rsidR="004704DF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century : Karel Absolon’s collecting activity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p.</w:t>
      </w:r>
      <w:r w:rsidR="004704DF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113-132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Oguz-Kirca E.D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Commemorating the long forgotten : Kumlubük stele on the Karian trail</w:t>
      </w:r>
      <w:r w:rsidR="004A71CA"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133-143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Papa V., Varotto E., Vaccarezza M., Galassi F.M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Teaching anatomy through images : the power of anatomical drawings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145-153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Vargová L., Vymazalová K., Horácková L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.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Evidences of children’s inflammatory diseases, trauma and tumours from the 13</w:t>
      </w:r>
      <w:r w:rsidRPr="004704DF">
        <w:rPr>
          <w:rFonts w:ascii="Arial" w:eastAsia="MS Minngs" w:hAnsi="Arial" w:cs="Arial"/>
          <w:b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to the 19</w:t>
      </w:r>
      <w:r w:rsidRPr="004704DF">
        <w:rPr>
          <w:rFonts w:ascii="Arial" w:eastAsia="MS Minngs" w:hAnsi="Arial" w:cs="Arial"/>
          <w:b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centuries in the Czech lands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155-170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Chandra Mandal G., Bose K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use of the sitting height index of build to determine undernutrition among rural Bengalee preschool children of West Bengal, India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171-177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Amoroso A., Garcia S.J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impact of environmental stress of minor congenital defects : measuring the association between MCD, stress markers and bone length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179-192</w:t>
      </w:r>
    </w:p>
    <w:p w:rsidR="004A71CA" w:rsidRPr="00121F2C" w:rsidRDefault="004704DF" w:rsidP="004A71CA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Vargová L., Trampota F., Jarosová I. et al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possible manifestations of scurvy on skeletal remains dated to 3800-3700 BC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193-203</w:t>
      </w:r>
    </w:p>
    <w:p w:rsidR="004A71CA" w:rsidRPr="004704DF" w:rsidRDefault="004704DF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Maceková S., Matia M., Varaliová Z. et al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Ethnic difference frequencies of THSD7A variant, but not association with obesity</w:t>
      </w:r>
      <w:r w:rsidR="004A71CA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4A71CA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205-211</w:t>
      </w:r>
    </w:p>
    <w:p w:rsidR="004A71CA" w:rsidRDefault="004A71CA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4A71CA" w:rsidRDefault="004A71CA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040618" w:rsidRPr="00DF4765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ArchéoSciences : revue d’archéométrie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n° 44-2, 2020</w:t>
      </w:r>
    </w:p>
    <w:p w:rsidR="00040618" w:rsidRPr="00044E5F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 xml:space="preserve"> (</w:t>
      </w:r>
      <w:r w:rsidRPr="00040618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https://journals.openedition.org/archeosciences/7510</w:t>
      </w: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)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Deschodt L., Lecomte-Schmitt B., Lorin Y., Martial E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Découverte d’un piège à poissons du Haut Moyen Age dans un vallon sec affluent de l’estuaire de la Canche à Etaples “Opalopolis” (Pas-de-Calais), 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117-127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Drieu L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A pottery biography : considering the entire lifecycle of a pot in organic residue analysis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129-143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Emami M., Emami S.N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A time-dependent statistical evaluation of the ceramic manufacturing process based on the mineralogical chemical analysis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145-159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Hermenault L.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De l’analyse du parcellaire aux dynamiques intra-urbaine : apport de l’archéogéographie à la compréhension de l’évolution de l’espace parisien sur le temps long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161-174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Bromblet Ph., Kloppmann W., Leroux L. et al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L’albâtre de Beuda (Gérone, Catalogne, Espagne), un matériau marqueur de la sculpture gothique en France méridionale révélé par les analyses multi-isotopiques (S, O, Sr)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175-188</w:t>
      </w:r>
    </w:p>
    <w:p w:rsidR="00040618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Javel J.-B., Beauvoit E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Approche non invasive des peintures murales du prieuré Saint-Jean-L’Evangéliste de Trizay (Charente-Maritime, France)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189-203</w:t>
      </w:r>
    </w:p>
    <w:p w:rsidR="00EA763B" w:rsidRPr="00121F2C" w:rsidRDefault="00040618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Paradis-Grenouillet S., Belingard C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Estimer le diamètre des bois carbonisés à partir de l’observation de la courbure des cernes de croissance des charbons de bois archéologiques : nouvelle contribution méthodologique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 w:rsidR="00EA763B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205-217</w:t>
      </w:r>
    </w:p>
    <w:p w:rsidR="00EA763B" w:rsidRDefault="00EA763B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Guiblais-Starck A., Menbrivès C., Coubray S</w:t>
      </w:r>
      <w:r w:rsidR="00040618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et al. </w:t>
      </w:r>
      <w:r w:rsidR="00040618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Première identification archéologique d’un écobuage médiéval : le site de Vaudes “Les Trappes” (Aube)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040618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 w:rsidR="00351386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2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19-235</w:t>
      </w:r>
    </w:p>
    <w:p w:rsidR="00040618" w:rsidRDefault="00EA763B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Angelini I., Vidale M. – </w:t>
      </w:r>
      <w:r w:rsidRPr="00EA763B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Bronze Age amber industry in northern Italy in light of high-resolution 3D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imaging, p. 237-249</w:t>
      </w:r>
      <w:r w:rsidR="00040618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</w:t>
      </w:r>
    </w:p>
    <w:p w:rsidR="00A7264E" w:rsidRDefault="00A7264E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</w:p>
    <w:p w:rsidR="00A7264E" w:rsidRDefault="00A7264E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</w:p>
    <w:p w:rsidR="00A7264E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ArchéoSciences : revue d’archéométrie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n° 45-1, 2021</w:t>
      </w:r>
    </w:p>
    <w:p w:rsidR="00A7264E" w:rsidRPr="00A7264E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lang w:eastAsia="fr-FR"/>
        </w:rPr>
      </w:pPr>
      <w:r w:rsidRPr="00A7264E">
        <w:rPr>
          <w:rFonts w:ascii="Arial" w:eastAsia="MS Minngs" w:hAnsi="Arial" w:cs="Arial"/>
          <w:noProof/>
          <w:color w:val="000000" w:themeColor="text1"/>
          <w:lang w:eastAsia="fr-FR"/>
        </w:rPr>
        <w:t>14th International Conference of Archaeological Prospection</w:t>
      </w:r>
    </w:p>
    <w:p w:rsidR="00A7264E" w:rsidRPr="00044E5F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 xml:space="preserve"> (</w:t>
      </w:r>
      <w:r w:rsidRPr="00A7264E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https://journals.openedition.org/archeosciences/8070</w:t>
      </w: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)</w:t>
      </w: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Asandulesei A., Tencariu F.-A., Balaur R.-S., Asandulesei M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Recent geophysical data on the extensive planimetric diversity of the Cucuteni archaeological sites from Northeastern Romania, 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13-16</w:t>
      </w: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Baret F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GPR vs Archaeological excavation : comparison of the results obtained in the Eastern district of the Roman small town of Bridiers (La Souterraine, Creuse, France)</w:t>
      </w:r>
      <w:r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17-22</w:t>
      </w: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Beenen G., Orbons J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Archaeological feedback on geophysical research in the Netherlands through case studies using excavation data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23-26</w:t>
      </w: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Benech C., Clément B., Dabas M. et al.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Combined GPR and electrostatic prospection in the Roman colony of Vienna (France)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27-30</w:t>
      </w:r>
    </w:p>
    <w:p w:rsidR="00A7264E" w:rsidRPr="00121F2C" w:rsidRDefault="00A726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Conyers L.B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Using ground-penetrating radar to analyse interior details of a Hohokam Dwelling to test ideas about cultural change and community dynamics in 10</w:t>
      </w:r>
      <w:r w:rsidRPr="00A7264E">
        <w:rPr>
          <w:rFonts w:ascii="Arial" w:eastAsia="MS Minngs" w:hAnsi="Arial" w:cs="Arial"/>
          <w:b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Century Southern Arizona, USA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 w:rsidR="00E03948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31-34</w:t>
      </w:r>
    </w:p>
    <w:p w:rsidR="00A7264E" w:rsidRPr="00121F2C" w:rsidRDefault="00B2194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Coolen J., Wallner M., Trausmuth T., König A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New insights into a Romanesque basilica church in the deserted town of Corvey, Germany, based on high-resolution GPR survey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35-38</w:t>
      </w:r>
    </w:p>
    <w:p w:rsidR="00A7264E" w:rsidRPr="00121F2C" w:rsidRDefault="0035138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Dabas M., Guadagnin R. Lambert D. et al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Magnetic and EMI prospection in a disturbed environment : the case of the Saint Brice/Ecouen (Val d’Oise, France) Pottery Workshop</w:t>
      </w:r>
      <w:r w:rsidR="00A726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p.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39-42</w:t>
      </w:r>
    </w:p>
    <w:p w:rsidR="00A7264E" w:rsidRDefault="0035138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Dabas M., Ollivier J</w:t>
      </w:r>
      <w:r w:rsidR="00A726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. 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The ancient rural settlement of Plantades in Salviac (Lot, France) : comparison of previous data with two geophysical surveys</w:t>
      </w:r>
      <w:r w:rsidR="00A726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 w:rsidR="00A7264E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43-46</w:t>
      </w:r>
    </w:p>
    <w:p w:rsidR="00A7264E" w:rsidRDefault="0035138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Dacko M., Simon F.-X., Hulin G. et al</w:t>
      </w:r>
      <w:r w:rsidR="00A726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. – </w:t>
      </w:r>
      <w:r w:rsidR="00A7264E" w:rsidRPr="00EA763B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Bronze Age amber industry in northern Italy in light of high-resolution 3D</w:t>
      </w:r>
      <w:r w:rsidR="00A7264E" w:rsidRPr="008A4C77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imaging</w:t>
      </w:r>
      <w:r w:rsidR="00A726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p. </w:t>
      </w:r>
      <w:r w:rsidR="00A03C4E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47-50</w:t>
      </w:r>
    </w:p>
    <w:p w:rsidR="00A03C4E" w:rsidRDefault="00A03C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Darras L., Vallet R.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Magnetic signatures of urban structures : case study from Larsa (Iraq, 6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vertAlign w:val="superscript"/>
          <w:lang w:val="en-GB" w:eastAsia="fr-FR"/>
        </w:rPr>
        <w:t>th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-1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vertAlign w:val="superscript"/>
          <w:lang w:val="en-GB" w:eastAsia="fr-FR"/>
        </w:rPr>
        <w:t>st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millenium BC)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51-54</w:t>
      </w:r>
    </w:p>
    <w:p w:rsidR="00A03C4E" w:rsidRDefault="00A03C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Fassbinder J.W.E., Hahn S., Parsi M.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Persian residences in the Southern Caucasus : latest discoveries in the periphery of the Achaemenid Empire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117-127</w:t>
      </w:r>
    </w:p>
    <w:p w:rsidR="00A03C4E" w:rsidRDefault="00A03C4E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Gaffney C., Gaffney V., Baldwin E.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Multidisciplinary investigation of the Pit Circuit at Durrington Walls, UK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59-61</w:t>
      </w:r>
    </w:p>
    <w:p w:rsidR="00A03C4E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lastRenderedPageBreak/>
        <w:t xml:space="preserve">Gamon M., Hinterleitner A., Löcker K. et al.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– Clunia revisited – The inverse feedback case : archaeological interpretation of high-resolution GPR data from the Roman site “uf dr Studa” in Altenstadt, Feldkirch, Austria, in comparison to archaeological excavation results from 1884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63-66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Hahn S., Parsi M., Fassbinder J.W.E.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ectasy of gold : magnetometer prospection for the Ushkiani project in Armenia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67-70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Hahn S., Fassbinder J.W.E.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effect of remanence in magnetometer prospection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71-74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Hulin G., Besnier C., Chaoui-Derieux D.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 geophysical survey in Notre-Dame de Paris cathedral : revealing the buried past after the disaster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75-77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Kay S., Haynes I., Liverani P.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Urban investigations in the heart of Rome : the Rome transformed project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79-81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Kay S., Sabatini S., Pomar E., Goransson K.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Revisiting Vulci : new data from a geophysical investigation in the urban area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83-86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Korobov D.S., Malashev V.Yu., Fassbinder J.W.E.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Geophysical and archaeological survey of the Alanic Barrow cemeteries in the Northern Caucasus (Russia)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87-90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Linford N., Linford P;, Payne A.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Geophysical survey at Mount Pleasant Henge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91-94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Löcker K., Totschnig R., Schiel H.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rich and the hard-working : Roman villae near late Attersee, Austria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95-99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Paez-Rezende L., Hulin G.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 combined approach using GPR and trial trenches in Cherbourg for archaeological evaluation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101-103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Pitz M.S., Dziurdzik T.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Vanishing ancient landscape : challenges of surveying Roman remains in Teskera and Hardomilje (Ljubuski, Bosnia and Herzegovina)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105-109</w:t>
      </w:r>
    </w:p>
    <w:p w:rsidR="009872AF" w:rsidRDefault="009872AF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Ryndziewicz R., Drzewiecki M., Banaszek L.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Survey of Soba (Sudan) : non-invasive approach to study the urban landscape of Medieval capital of the Kingdom of Alwa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111-114</w:t>
      </w:r>
    </w:p>
    <w:p w:rsidR="009872AF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Sanchez C., Gondet S., Mohammadkhani K., Thiesson J.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Electromagnetic mapping of Pasargadae (Fars Province, Iran) : feedback from the 2017-2018 fieldwork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115-118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Schweitzer C., Schwarz R.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Localizing the historically documented Saxon castle Hocseburg, Middle Germany : an integrated case study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119-122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Sosic-Klindzic R., Meyer C., Milo P.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All round : workflow for the identification of Neolithic enclosure sites of the Sopot culture in Eastern Slavonia (Croatia)</w:t>
      </w:r>
      <w:r w:rsidR="001F6FC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123-126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Stamnes A.A., Kiersnowski K.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Large-scale ground-penetrating radar surveys of the Iron Age site of Bodosjoen, Northern Norway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127-130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Stele A., Linck R., Fassbinder J.W.E.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Claus Colani’s pulsed electromagnetic induction principle : documents and data of the first archaeo-geophysical prospecting in Bavaria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131-134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Thiesson J., Fondrillon M., Bodet L.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Les Jardins de l’Archevêché in Bourges : how geophysics can help to evaluate the archaeological potential of urban land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135-138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Wallner M., Gugl C., Radbauer S., Neubauer W.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Western Suburbium in Roman Carnuntum : an integrated spatio-temporal analysis of different archaeological prospection datasets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139-141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Wiewel A., Conyers L.B., Piroddi L., Papadopoulos N.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An experimental use of ground-penetrating radar to identify human footprints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143-146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Zawadzki M., Ciechowska H., Mieszkowski R., Peski F.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Reconstruction of the mine plan in Szklary (Poland) using ERT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147-150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Zolchow M., Köhn D., Wilken D., Rabbel W.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Using seismic full-waveform inversion (FWI) for structural investigation of the Danevirke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151-154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Benech C., Vitale Q., d’Agostino L., Parfant C.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GPR mural study of the Commandery of Jalès (France)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157-159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Garcia-Garcia E., Grison H., Jordanova N.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Mineral-magnetic characterization as a key to explain differences in magnetic contrast and improve archaeological intepretation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161-164</w:t>
      </w:r>
    </w:p>
    <w:p w:rsidR="00825AB6" w:rsidRDefault="00825AB6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Gavazzi B., Reiller H., Munschy M.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An integrated approach for ground and drone-borne magnetic surveys and their interpretation in archaeological prospection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165-168</w:t>
      </w:r>
    </w:p>
    <w:p w:rsidR="00825AB6" w:rsidRDefault="0036314B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Lambers L., Laan W., Smedt P. de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 geophysical multi-method approach to investigate the archaeological landscape of Lanakerveld (NL)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169-173</w:t>
      </w:r>
    </w:p>
    <w:p w:rsidR="0036314B" w:rsidRDefault="0036314B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Linck R., Fischer J., Casement R.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Chances of Airborne SAR in the investigation of buried archaeological sites in Moist soil in Bavaria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175-178</w:t>
      </w:r>
    </w:p>
    <w:p w:rsidR="0036314B" w:rsidRDefault="0036314B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Louvaris P., Tsourlos, P., Tsokas G.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Application of two dimensional electrical resistivity tomography (ERT) for moisture detection in Thessaloniki’s Rotunda Pillars and three-dimensional ERT modeling using optimized electrode arrays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179-181</w:t>
      </w:r>
    </w:p>
    <w:p w:rsidR="0036314B" w:rsidRDefault="0036314B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Parsi M., Linck R., Fassbinder J.W.E.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Highlighting the potential of 3D ERT by comparing its results with GPR and the excavation map of a roman building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183-186</w:t>
      </w:r>
    </w:p>
    <w:p w:rsidR="0036314B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lastRenderedPageBreak/>
        <w:t xml:space="preserve">Pickartz N., Hofmann R., Wunderlich T.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Magnetization patterns as indicator of settlement structures,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 187-190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Rousset M.-O., Girard J.-P.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Thesauri and terminologies as sources for the interoperability of archaeological data : the case of prospection vocabulary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191-195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Rusch K., Thorwart ., Müth S.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The searc</w:t>
      </w:r>
      <w:r w:rsidR="001F6FCC"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h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for Sikyon’s Sunken Harbor : active and passive seismic mapping in an urban environment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197-200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Scheiblecker M.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Can magnetic directions of Kilns help us distinguish settlement phases ? A case study from the Shahrizor Plain, Iraqi Kurdistan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201-206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Schmidt V., Coolen J. -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Potential and challenges of UAV-Borne magnetic measurements for archaeological prospection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207-209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Simon F.-X., Thiesson J., Beylier A.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Mapping archaeological features and/or removing disturbances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211-214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Simon F.-X., Papadopoulos N., Guillemoteau J.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Multi-frequency loop electromagnetic system measurement on shallow offshore archaeological site of Oulos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215-218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Verdonck 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ArchGeoRobot : automated archaeo-geophysical data acquisition using an unmanned ground vehicle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219-221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Verhegge J., Delvoie S., Luong H.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Direct push video imaging : an innovation in Prehistoric paleolandscape survey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223-227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Smet P. de, Garwood P., Chapman H.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Identifying elusive Prehistoric land use by integrating electromagnetic and invasive survey approaches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231-233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Herbich T.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Magnetic and electrical resistivity methods in locating ancient waterways and riverine harbourgs in Egypt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235-238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Krivanek R.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Comparison of soil erosion risks from public soil maps with the reality from geophysical surveys of archaeological sites in Bohemia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239-243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Ozdogru I.N., Kücükdemirci M.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Studying the ancient settlement of Hacilar Büyük Höyük with integrated methods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245-248</w:t>
      </w:r>
    </w:p>
    <w:p w:rsidR="007C5A77" w:rsidRDefault="007C5A77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Hinterleitner A., Trinks I., Nau E.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GPR coherence imaging examples : the good, the bad, and the ugly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251-254</w:t>
      </w:r>
    </w:p>
    <w:p w:rsidR="007C5A77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Karamitrou A., Tsokas G.N., Stampolidis A.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Curvelet-transform-based fusion : application to Europos and Doriskos, N. Greece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255-257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Karamitrou A., Tsokas G.N., Kaimaris D.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Joint interpretating of various geophysical data by means of image fusion in Philippi in Northern Greece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259-262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Linford N. –</w:t>
      </w:r>
      <w:r w:rsidR="001F6FC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</w:t>
      </w:r>
      <w:r w:rsidR="001F6FCC"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A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vector-based approach to assessing the results from constant velocity migration of GPR data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263-266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Schmidt A., Dabas M., Sarris A.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Characterising noise in archaeo-geophysical measurements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267-270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Trinks I., Hinterleitner A. Schneidhofer P.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Muti-trace coherence mapping and data fusion for improved GPR imaging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271-274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Vitale Q., Nouveau M., Pasquet S.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EMI prospection at Tabbel El-Guesh (Saqqara Plateau, Egypt)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275-278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Wunderlich T.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MultichannelGPR : a new MATLAB-tool for the processing of GPR data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279-283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Guyot A., Lennon M., Stéphan P.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What lies beneth the surface ? Using airborne hyperspectral imagery to map submerged archaeological landscapes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287-290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Kücüdermirci M., Landeschi G. Dell’Unto N. et al.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Mapping archaeological sings from airborne Lidar data using deep neural networks : primary results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291-293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Linck R., Gericke T. – </w:t>
      </w:r>
      <w:r w:rsidRPr="001F6FCC"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Everything archaeology ? Pitfalls from 40 years of aerial archaeology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p. 295-299</w:t>
      </w:r>
    </w:p>
    <w:p w:rsidR="00D1458C" w:rsidRDefault="00D1458C" w:rsidP="00A7264E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</w:p>
    <w:p w:rsidR="00A7264E" w:rsidRPr="00121F2C" w:rsidRDefault="00A7264E" w:rsidP="00040618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</w:p>
    <w:p w:rsidR="00040618" w:rsidRDefault="00040618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DF1B17" w:rsidRPr="00DF4765" w:rsidRDefault="00DF1B17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</w:pPr>
      <w:r w:rsidRPr="00DF4765"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eastAsia="fr-FR"/>
        </w:rPr>
        <w:t>L'Anthropologie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vol. 125, n° 3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 xml:space="preserve">juillet-août </w:t>
      </w:r>
      <w:r w:rsidRPr="00DF4765">
        <w:rPr>
          <w:rFonts w:ascii="Arial" w:eastAsia="MS Minngs" w:hAnsi="Arial" w:cs="Arial"/>
          <w:noProof/>
          <w:color w:val="000000" w:themeColor="text1"/>
          <w:sz w:val="24"/>
          <w:szCs w:val="24"/>
          <w:lang w:eastAsia="fr-FR"/>
        </w:rPr>
        <w:t>2021</w:t>
      </w:r>
    </w:p>
    <w:p w:rsidR="00DF1B17" w:rsidRDefault="00DF1B17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  <w:t>Vallée de la Somme : site acheuléen de Moulin Quignon</w:t>
      </w:r>
    </w:p>
    <w:p w:rsidR="00DF1B17" w:rsidRPr="00044E5F" w:rsidRDefault="00DF1B17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</w:pP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(https://www.sciencedirect.com/journa</w:t>
      </w:r>
      <w:r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l/lanthropologie/vol/125/issue/3</w:t>
      </w:r>
      <w:r w:rsidRPr="00044E5F">
        <w:rPr>
          <w:rFonts w:ascii="Arial" w:eastAsia="MS Minngs" w:hAnsi="Arial" w:cs="Arial"/>
          <w:noProof/>
          <w:color w:val="000000" w:themeColor="text1"/>
          <w:sz w:val="18"/>
          <w:szCs w:val="18"/>
          <w:lang w:eastAsia="fr-FR"/>
        </w:rPr>
        <w:t>)</w:t>
      </w:r>
    </w:p>
    <w:p w:rsidR="00DF1B17" w:rsidRPr="00121F2C" w:rsidRDefault="00DF1B17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eastAsia="fr-FR"/>
        </w:rPr>
      </w:pPr>
    </w:p>
    <w:p w:rsidR="00DF1B17" w:rsidRPr="00121F2C" w:rsidRDefault="00B07AFF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Coye N, Fagnart J.-P., Hurel A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Etat des connaissances sur la Préhistoire et l’histoire des recherches en vallée de la Somme (XIXe-XXIe siecles)</w:t>
      </w:r>
      <w:r w:rsidR="00DF1B17"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, 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5</w:t>
      </w:r>
      <w:r w:rsidR="00DF1B17"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Pr="00121F2C" w:rsidRDefault="004171AC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Bahain J.-J., Antoine P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Les terrasses fluviatiles quaternaires de la Somme à Abbeville : 150 ans de recherches mêlant géologie et archéologie, de Boucher de Perthes à aujourd’hui</w:t>
      </w:r>
      <w:r w:rsidR="00DF1B17"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, </w:t>
      </w:r>
      <w:r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>20</w:t>
      </w:r>
      <w:r w:rsidR="00DF1B17" w:rsidRPr="00121F2C">
        <w:rPr>
          <w:rFonts w:ascii="Arial" w:eastAsia="MS Minngs" w:hAnsi="Arial" w:cs="Arial"/>
          <w:bCs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Pr="00121F2C" w:rsidRDefault="004171AC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Haesaerts P., Hus J., Dupuis C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bCs/>
          <w:noProof/>
          <w:color w:val="000000" w:themeColor="text1"/>
          <w:sz w:val="20"/>
          <w:szCs w:val="20"/>
          <w:lang w:val="en-GB" w:eastAsia="fr-FR"/>
        </w:rPr>
        <w:t xml:space="preserve"> Les nappes alluviales de la Basse Somme revisitées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16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 </w:t>
      </w:r>
    </w:p>
    <w:p w:rsidR="00DF1B17" w:rsidRPr="00121F2C" w:rsidRDefault="004171AC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lastRenderedPageBreak/>
        <w:t>Fagnart J.-P., Paris C., Coudret P</w:t>
      </w:r>
      <w:r w:rsidR="00DF1B17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. 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Hommes et climats au Paléolithique supérieur dans le bassin de la Somme (France)</w:t>
      </w:r>
      <w:r w:rsidR="009679A0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15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Pr="00121F2C" w:rsidRDefault="009679A0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Locht J.-L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Les industries lithiques d’âge éemien du site de Caours (Somme)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29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Pr="00121F2C" w:rsidRDefault="009679A0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Moncel M.-H., Antoine P., Herisson D. et al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La redécouverte du site de Moulin Quignon (Somme) et les premiers Acheuléens du Nord-Ouest de l’Europe (650 ka)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, 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18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Pr="00121F2C" w:rsidRDefault="0084027F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Vialet A., Hurel A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Moulin-Quignon et Homo heidelbergensis : contextes épistémologiques et enjeux taxinomiques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18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 </w:t>
      </w:r>
    </w:p>
    <w:p w:rsidR="00DF1B17" w:rsidRPr="00121F2C" w:rsidRDefault="0084027F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Aufrère M.-F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. –</w:t>
      </w: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 xml:space="preserve"> Boucher de Perthes (1788-1868) : des rêves métaphysiques à l’invention de la Préhistoire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27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 </w:t>
      </w:r>
    </w:p>
    <w:p w:rsidR="00DF1B17" w:rsidRPr="00121F2C" w:rsidRDefault="0084027F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  <w:r>
        <w:rPr>
          <w:rFonts w:ascii="Arial" w:eastAsia="MS Minngs" w:hAnsi="Arial" w:cs="Arial"/>
          <w:b/>
          <w:noProof/>
          <w:color w:val="000000" w:themeColor="text1"/>
          <w:sz w:val="20"/>
          <w:szCs w:val="20"/>
          <w:lang w:val="en-GB" w:eastAsia="fr-FR"/>
        </w:rPr>
        <w:t>Erratum à ‘L’art rupestre en abri sous-roche du Paléolithique supérieur” [L’Anthropologie, 124, (3) (2020) 102782]</w:t>
      </w:r>
      <w:r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>, 1</w:t>
      </w:r>
      <w:r w:rsidR="00DF1B17" w:rsidRPr="00121F2C"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  <w:t xml:space="preserve"> p.</w:t>
      </w:r>
    </w:p>
    <w:p w:rsidR="00DF1B17" w:rsidRDefault="00DF1B17" w:rsidP="00DF1B17">
      <w:pPr>
        <w:spacing w:after="0" w:line="240" w:lineRule="auto"/>
        <w:jc w:val="both"/>
        <w:rPr>
          <w:rFonts w:ascii="Arial" w:eastAsia="MS Minngs" w:hAnsi="Arial" w:cs="Arial"/>
          <w:noProof/>
          <w:color w:val="000000" w:themeColor="text1"/>
          <w:sz w:val="20"/>
          <w:szCs w:val="20"/>
          <w:lang w:val="en-GB" w:eastAsia="fr-FR"/>
        </w:rPr>
      </w:pPr>
    </w:p>
    <w:p w:rsidR="00DF1B17" w:rsidRDefault="00DF1B17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000000" w:themeColor="text1"/>
          <w:sz w:val="24"/>
          <w:szCs w:val="24"/>
          <w:lang w:val="en-GB" w:eastAsia="fr-FR"/>
        </w:rPr>
      </w:pPr>
    </w:p>
    <w:p w:rsidR="00DF1B17" w:rsidRPr="00DF1B17" w:rsidRDefault="00DF1B17" w:rsidP="00DF1B17">
      <w:pPr>
        <w:spacing w:after="0" w:line="240" w:lineRule="auto"/>
        <w:jc w:val="both"/>
        <w:rPr>
          <w:rFonts w:ascii="Arial" w:eastAsia="MS Minngs" w:hAnsi="Arial" w:cs="Arial"/>
          <w:b/>
          <w:bCs/>
          <w:i/>
          <w:iCs/>
          <w:noProof/>
          <w:color w:val="FF0000"/>
          <w:sz w:val="24"/>
          <w:szCs w:val="24"/>
          <w:lang w:val="en-GB" w:eastAsia="fr-FR"/>
        </w:rPr>
      </w:pPr>
    </w:p>
    <w:p w:rsidR="000D1497" w:rsidRPr="00DF1B17" w:rsidRDefault="006D3135">
      <w:pPr>
        <w:rPr>
          <w:color w:val="FF0000"/>
        </w:rPr>
      </w:pPr>
    </w:p>
    <w:sectPr w:rsidR="000D1497" w:rsidRPr="00DF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7"/>
    <w:rsid w:val="00040618"/>
    <w:rsid w:val="00072050"/>
    <w:rsid w:val="00091CE3"/>
    <w:rsid w:val="000E69B5"/>
    <w:rsid w:val="000F442B"/>
    <w:rsid w:val="001D3819"/>
    <w:rsid w:val="001D6823"/>
    <w:rsid w:val="001F6FCC"/>
    <w:rsid w:val="002102BD"/>
    <w:rsid w:val="002110EC"/>
    <w:rsid w:val="002224C7"/>
    <w:rsid w:val="00245161"/>
    <w:rsid w:val="00294937"/>
    <w:rsid w:val="002A6041"/>
    <w:rsid w:val="002C5A23"/>
    <w:rsid w:val="002D29FE"/>
    <w:rsid w:val="002F5B76"/>
    <w:rsid w:val="00347A58"/>
    <w:rsid w:val="00351386"/>
    <w:rsid w:val="0036314B"/>
    <w:rsid w:val="0038306A"/>
    <w:rsid w:val="003C292C"/>
    <w:rsid w:val="004171AC"/>
    <w:rsid w:val="00426337"/>
    <w:rsid w:val="004704DF"/>
    <w:rsid w:val="004A426D"/>
    <w:rsid w:val="004A71CA"/>
    <w:rsid w:val="004D2E45"/>
    <w:rsid w:val="004D4167"/>
    <w:rsid w:val="005A2671"/>
    <w:rsid w:val="00603924"/>
    <w:rsid w:val="006D3135"/>
    <w:rsid w:val="006D63D2"/>
    <w:rsid w:val="00723E44"/>
    <w:rsid w:val="007C5A77"/>
    <w:rsid w:val="00825AB6"/>
    <w:rsid w:val="0084027F"/>
    <w:rsid w:val="008A4C77"/>
    <w:rsid w:val="008E6CF5"/>
    <w:rsid w:val="0090251B"/>
    <w:rsid w:val="00932B90"/>
    <w:rsid w:val="00953FB1"/>
    <w:rsid w:val="00957551"/>
    <w:rsid w:val="009600AD"/>
    <w:rsid w:val="009679A0"/>
    <w:rsid w:val="009769D1"/>
    <w:rsid w:val="009872AF"/>
    <w:rsid w:val="00A00DD3"/>
    <w:rsid w:val="00A03C4E"/>
    <w:rsid w:val="00A175BD"/>
    <w:rsid w:val="00A609FB"/>
    <w:rsid w:val="00A7264E"/>
    <w:rsid w:val="00A86CA2"/>
    <w:rsid w:val="00B07AFF"/>
    <w:rsid w:val="00B21947"/>
    <w:rsid w:val="00B5521B"/>
    <w:rsid w:val="00B75E53"/>
    <w:rsid w:val="00BD0C8C"/>
    <w:rsid w:val="00BF2691"/>
    <w:rsid w:val="00C14D04"/>
    <w:rsid w:val="00C15F58"/>
    <w:rsid w:val="00C217CD"/>
    <w:rsid w:val="00C21B58"/>
    <w:rsid w:val="00C55407"/>
    <w:rsid w:val="00D06336"/>
    <w:rsid w:val="00D1458C"/>
    <w:rsid w:val="00D712FC"/>
    <w:rsid w:val="00DC0918"/>
    <w:rsid w:val="00DF1B17"/>
    <w:rsid w:val="00DF73E4"/>
    <w:rsid w:val="00E03948"/>
    <w:rsid w:val="00E20B64"/>
    <w:rsid w:val="00E57F29"/>
    <w:rsid w:val="00E67DE5"/>
    <w:rsid w:val="00E96F81"/>
    <w:rsid w:val="00EA763B"/>
    <w:rsid w:val="00EF4372"/>
    <w:rsid w:val="00F116D3"/>
    <w:rsid w:val="00F23DA5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A2EC"/>
  <w15:chartTrackingRefBased/>
  <w15:docId w15:val="{8845DC5F-81E3-4853-B62E-BC7F8E3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pp.2021.07.002" TargetMode="External"/><Relationship Id="rId13" Type="http://schemas.openxmlformats.org/officeDocument/2006/relationships/hyperlink" Target="https://doi.org/10.1016/j.ijpp.2021.06.003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jasrep.2021.103138" TargetMode="External"/><Relationship Id="rId12" Type="http://schemas.openxmlformats.org/officeDocument/2006/relationships/hyperlink" Target="https://doi.org/10.1676/19-00135" TargetMode="External"/><Relationship Id="rId17" Type="http://schemas.openxmlformats.org/officeDocument/2006/relationships/hyperlink" Target="https://doi.org/10.1016/j.tust.2020.1038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5184/aqy.2020.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ijpp.2021.06.005" TargetMode="External"/><Relationship Id="rId11" Type="http://schemas.openxmlformats.org/officeDocument/2006/relationships/hyperlink" Target="https://doi.org/10.1016/j.ijpp.2021.04.005" TargetMode="External"/><Relationship Id="rId5" Type="http://schemas.openxmlformats.org/officeDocument/2006/relationships/hyperlink" Target="https://doi.org/10.1016/j.ijpp.2021.07.003" TargetMode="External"/><Relationship Id="rId15" Type="http://schemas.openxmlformats.org/officeDocument/2006/relationships/hyperlink" Target="https://doi.org/10.3390/quat4040030" TargetMode="External"/><Relationship Id="rId10" Type="http://schemas.openxmlformats.org/officeDocument/2006/relationships/hyperlink" Target="https://doi.org/10.1016/j.ijpp.2021.07.00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i.org/10.1007/s12520-021-01377-2" TargetMode="External"/><Relationship Id="rId14" Type="http://schemas.openxmlformats.org/officeDocument/2006/relationships/hyperlink" Target="https://journals.openedition.org/bmsap/76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4009</Words>
  <Characters>22055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PACEA</Company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Esqurial</dc:creator>
  <cp:keywords/>
  <dc:description/>
  <cp:lastModifiedBy>Isabelle Esqurial</cp:lastModifiedBy>
  <cp:revision>63</cp:revision>
  <dcterms:created xsi:type="dcterms:W3CDTF">2021-09-01T08:19:00Z</dcterms:created>
  <dcterms:modified xsi:type="dcterms:W3CDTF">2021-10-04T13:15:00Z</dcterms:modified>
</cp:coreProperties>
</file>